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C36BB" w14:textId="77777777" w:rsidR="00346FDF" w:rsidRPr="00112A3B" w:rsidRDefault="00346FDF" w:rsidP="00F43612">
      <w:pPr>
        <w:rPr>
          <w:rFonts w:cs="Times New Roman"/>
          <w:b/>
        </w:rPr>
      </w:pPr>
      <w:bookmarkStart w:id="0" w:name="_GoBack"/>
      <w:bookmarkEnd w:id="0"/>
    </w:p>
    <w:p w14:paraId="170C8D5C" w14:textId="77777777" w:rsidR="00346FDF" w:rsidRPr="00112A3B" w:rsidRDefault="00346FDF" w:rsidP="00346FDF">
      <w:pPr>
        <w:spacing w:line="240" w:lineRule="auto"/>
        <w:rPr>
          <w:rFonts w:cs="Times New Roman"/>
        </w:rPr>
      </w:pPr>
      <w:r w:rsidRPr="00112A3B">
        <w:rPr>
          <w:rFonts w:cs="Times New Roman"/>
          <w:b/>
          <w:sz w:val="22"/>
        </w:rPr>
        <w:t>BKD,</w:t>
      </w:r>
      <w:r w:rsidRPr="00112A3B">
        <w:rPr>
          <w:rFonts w:cs="Times New Roman"/>
          <w:b/>
          <w:sz w:val="17"/>
        </w:rPr>
        <w:t xml:space="preserve"> LLP </w:t>
      </w:r>
      <w:r w:rsidRPr="00112A3B">
        <w:rPr>
          <w:rFonts w:cs="Times New Roman"/>
        </w:rPr>
        <w:t>(BKD) is pleased to provide you with this example policy.</w:t>
      </w:r>
      <w:r w:rsidRPr="00112A3B" w:rsidDel="00F0428E">
        <w:rPr>
          <w:rFonts w:cs="Times New Roman"/>
        </w:rPr>
        <w:t xml:space="preserve"> </w:t>
      </w:r>
      <w:r w:rsidRPr="00112A3B">
        <w:rPr>
          <w:rFonts w:cs="Times New Roman"/>
        </w:rPr>
        <w:t xml:space="preserve"> This example is for your exclusive use and may not be copied or modified for use by any other party without the permission of </w:t>
      </w:r>
      <w:r w:rsidRPr="00112A3B">
        <w:rPr>
          <w:rFonts w:cs="Times New Roman"/>
          <w:b/>
          <w:sz w:val="22"/>
        </w:rPr>
        <w:t>BKD,</w:t>
      </w:r>
      <w:r w:rsidRPr="00112A3B">
        <w:rPr>
          <w:rFonts w:cs="Times New Roman"/>
          <w:b/>
          <w:sz w:val="17"/>
        </w:rPr>
        <w:t xml:space="preserve"> LLP</w:t>
      </w:r>
      <w:r w:rsidRPr="00112A3B">
        <w:rPr>
          <w:rFonts w:cs="Times New Roman"/>
        </w:rPr>
        <w:t>.</w:t>
      </w:r>
    </w:p>
    <w:p w14:paraId="5797CBC7" w14:textId="77777777" w:rsidR="00346FDF" w:rsidRPr="00112A3B" w:rsidRDefault="00346FDF" w:rsidP="00346FDF">
      <w:pPr>
        <w:pStyle w:val="Header"/>
      </w:pPr>
      <w:r w:rsidRPr="00112A3B">
        <w:t xml:space="preserve">You agree to assume full responsibility for using </w:t>
      </w:r>
      <w:r w:rsidRPr="00112A3B">
        <w:rPr>
          <w:b/>
          <w:sz w:val="22"/>
        </w:rPr>
        <w:t>BKD</w:t>
      </w:r>
      <w:r w:rsidRPr="00112A3B">
        <w:t xml:space="preserve">-designed example policies and procedures. </w:t>
      </w:r>
      <w:r w:rsidRPr="00112A3B">
        <w:rPr>
          <w:b/>
          <w:sz w:val="22"/>
        </w:rPr>
        <w:t>BKD</w:t>
      </w:r>
      <w:r w:rsidRPr="00112A3B">
        <w:t xml:space="preserve"> will not review or supervise any of the work performed by your personnel working with our examples. By providing these examples, </w:t>
      </w:r>
      <w:r w:rsidRPr="00112A3B">
        <w:rPr>
          <w:b/>
          <w:sz w:val="22"/>
        </w:rPr>
        <w:t>BKD</w:t>
      </w:r>
      <w:r w:rsidRPr="00112A3B">
        <w:t xml:space="preserve"> is not making management decisions or performing management responsibilities. </w:t>
      </w:r>
      <w:r w:rsidRPr="00112A3B">
        <w:rPr>
          <w:bCs/>
        </w:rPr>
        <w:t>T</w:t>
      </w:r>
      <w:r w:rsidRPr="00112A3B">
        <w:t>hat responsibility remains with management and the Board of Directors at all times.</w:t>
      </w:r>
    </w:p>
    <w:p w14:paraId="75716476" w14:textId="77777777" w:rsidR="00346FDF" w:rsidRPr="00112A3B" w:rsidRDefault="00346FDF" w:rsidP="00346FDF">
      <w:pPr>
        <w:pStyle w:val="Footer"/>
        <w:rPr>
          <w:b/>
          <w:sz w:val="22"/>
        </w:rPr>
      </w:pPr>
    </w:p>
    <w:p w14:paraId="1A27F489" w14:textId="77777777" w:rsidR="00346FDF" w:rsidRPr="00112A3B" w:rsidRDefault="00346FDF" w:rsidP="009D41A1">
      <w:pPr>
        <w:pStyle w:val="Footer"/>
      </w:pPr>
      <w:r w:rsidRPr="00112A3B">
        <w:rPr>
          <w:b/>
          <w:sz w:val="22"/>
        </w:rPr>
        <w:t>BKD</w:t>
      </w:r>
      <w:r w:rsidRPr="00112A3B">
        <w:t xml:space="preserve"> does not provide any warranties </w:t>
      </w:r>
      <w:proofErr w:type="gramStart"/>
      <w:r w:rsidRPr="00112A3B">
        <w:t>in regards to</w:t>
      </w:r>
      <w:proofErr w:type="gramEnd"/>
      <w:r w:rsidRPr="00112A3B">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09DCF461" w14:textId="77777777" w:rsidR="009D41A1" w:rsidRPr="00112A3B" w:rsidRDefault="009D41A1" w:rsidP="009D41A1">
      <w:pPr>
        <w:pStyle w:val="Footer"/>
      </w:pPr>
    </w:p>
    <w:p w14:paraId="7C97E116" w14:textId="77777777" w:rsidR="00346FDF" w:rsidRPr="00112A3B" w:rsidRDefault="00346FDF" w:rsidP="00346FDF">
      <w:pPr>
        <w:pStyle w:val="Header"/>
      </w:pPr>
      <w:r w:rsidRPr="00112A3B">
        <w:t>Additionally, the accounting standards, applicable laws, regulations and regulators’ enforcement activities may change over time requiring modifications to these example policies and procedures.  Required modifications to these examples are your responsibility.</w:t>
      </w:r>
    </w:p>
    <w:p w14:paraId="69A2FD81" w14:textId="77777777" w:rsidR="00346FDF" w:rsidRPr="00112A3B" w:rsidRDefault="00346FDF" w:rsidP="00346FDF">
      <w:pPr>
        <w:pStyle w:val="Footer"/>
        <w:rPr>
          <w:b/>
          <w:sz w:val="22"/>
        </w:rPr>
      </w:pPr>
    </w:p>
    <w:p w14:paraId="2CE42916" w14:textId="77777777" w:rsidR="00346FDF" w:rsidRPr="00112A3B" w:rsidRDefault="00346FDF" w:rsidP="00346FDF">
      <w:pPr>
        <w:spacing w:line="240" w:lineRule="auto"/>
        <w:rPr>
          <w:rFonts w:cs="Times New Roman"/>
        </w:rPr>
      </w:pPr>
      <w:r w:rsidRPr="00112A3B">
        <w:rPr>
          <w:rFonts w:cs="Times New Roman"/>
        </w:rPr>
        <w:t xml:space="preserve">The example(s) are not designed to prevent or discover errors, misrepresentations, fraud or illegal acts, and you agree </w:t>
      </w:r>
      <w:r w:rsidRPr="00112A3B">
        <w:rPr>
          <w:rFonts w:cs="Times New Roman"/>
          <w:b/>
          <w:sz w:val="22"/>
        </w:rPr>
        <w:t>BKD</w:t>
      </w:r>
      <w:r w:rsidRPr="00112A3B">
        <w:rPr>
          <w:rFonts w:cs="Times New Roman"/>
        </w:rPr>
        <w:t xml:space="preserve"> has no such responsibility. Because of the limits in any internal control structure, errors, fraud, illegal acts or instances of noncompliance may occur and not be detected. </w:t>
      </w:r>
    </w:p>
    <w:p w14:paraId="4809080F" w14:textId="77777777" w:rsidR="00346FDF" w:rsidRPr="00112A3B" w:rsidRDefault="00346FDF" w:rsidP="00346FDF">
      <w:pPr>
        <w:pStyle w:val="Header"/>
      </w:pPr>
    </w:p>
    <w:p w14:paraId="1D8703D7" w14:textId="77777777" w:rsidR="00346FDF" w:rsidRPr="00112A3B" w:rsidRDefault="00346FDF" w:rsidP="00346FDF">
      <w:pPr>
        <w:pStyle w:val="Header"/>
      </w:pPr>
      <w:r w:rsidRPr="00112A3B">
        <w:rPr>
          <w:b/>
          <w:sz w:val="22"/>
        </w:rPr>
        <w:t>BKD</w:t>
      </w:r>
      <w:r w:rsidRPr="00112A3B">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5FAB0128" w14:textId="77777777" w:rsidR="00346FDF" w:rsidRPr="00112A3B" w:rsidRDefault="00346FDF" w:rsidP="00F43612">
      <w:pPr>
        <w:rPr>
          <w:rFonts w:cs="Times New Roman"/>
          <w:b/>
        </w:rPr>
      </w:pPr>
    </w:p>
    <w:p w14:paraId="3E584242" w14:textId="77777777" w:rsidR="00346FDF" w:rsidRPr="00112A3B" w:rsidRDefault="00346FDF" w:rsidP="00F43612">
      <w:pPr>
        <w:rPr>
          <w:rFonts w:cs="Times New Roman"/>
          <w:b/>
        </w:rPr>
      </w:pPr>
    </w:p>
    <w:p w14:paraId="5AF2B8F0" w14:textId="77777777" w:rsidR="00346FDF" w:rsidRPr="00112A3B" w:rsidRDefault="00346FDF" w:rsidP="00F43612">
      <w:pPr>
        <w:rPr>
          <w:rFonts w:cs="Times New Roman"/>
          <w:b/>
        </w:rPr>
      </w:pPr>
    </w:p>
    <w:p w14:paraId="2CADBCA9" w14:textId="77777777" w:rsidR="00346FDF" w:rsidRPr="00112A3B" w:rsidRDefault="00346FDF" w:rsidP="00F43612">
      <w:pPr>
        <w:rPr>
          <w:rFonts w:cs="Times New Roman"/>
          <w:b/>
        </w:rPr>
      </w:pPr>
    </w:p>
    <w:p w14:paraId="202B6155" w14:textId="77777777" w:rsidR="00346FDF" w:rsidRPr="00112A3B" w:rsidRDefault="00346FDF" w:rsidP="00F43612">
      <w:pPr>
        <w:rPr>
          <w:rFonts w:cs="Times New Roman"/>
          <w:b/>
        </w:rPr>
      </w:pPr>
    </w:p>
    <w:p w14:paraId="3B41CDB9" w14:textId="77777777" w:rsidR="00346FDF" w:rsidRPr="00112A3B" w:rsidRDefault="00346FDF" w:rsidP="00F43612">
      <w:pPr>
        <w:rPr>
          <w:rFonts w:cs="Times New Roman"/>
          <w:b/>
        </w:rPr>
      </w:pPr>
    </w:p>
    <w:p w14:paraId="667E15DC" w14:textId="77777777" w:rsidR="009D41A1" w:rsidRPr="00112A3B" w:rsidRDefault="009D41A1" w:rsidP="00F43612">
      <w:pPr>
        <w:rPr>
          <w:rFonts w:cs="Times New Roman"/>
          <w:b/>
        </w:rPr>
      </w:pPr>
    </w:p>
    <w:p w14:paraId="0E198918" w14:textId="77777777" w:rsidR="00486B07" w:rsidRPr="00112A3B" w:rsidRDefault="00CF0AF7" w:rsidP="00F43612">
      <w:pPr>
        <w:rPr>
          <w:rFonts w:cs="Times New Roman"/>
          <w:b/>
        </w:rPr>
      </w:pPr>
      <w:r w:rsidRPr="00112A3B">
        <w:rPr>
          <w:rFonts w:cs="Times New Roman"/>
          <w:b/>
        </w:rPr>
        <w:lastRenderedPageBreak/>
        <w:t>Credit Card Purchases</w:t>
      </w:r>
    </w:p>
    <w:p w14:paraId="04AD0DFA" w14:textId="77777777" w:rsidR="001E6048" w:rsidRPr="00112A3B" w:rsidRDefault="001E6048" w:rsidP="00602EE3">
      <w:pPr>
        <w:pStyle w:val="ListParagraph"/>
        <w:numPr>
          <w:ilvl w:val="0"/>
          <w:numId w:val="1"/>
        </w:numPr>
        <w:rPr>
          <w:b/>
        </w:rPr>
      </w:pPr>
      <w:r w:rsidRPr="00112A3B">
        <w:rPr>
          <w:b/>
        </w:rPr>
        <w:t>Policy:</w:t>
      </w:r>
    </w:p>
    <w:p w14:paraId="7DFDE265" w14:textId="77777777" w:rsidR="001E6048" w:rsidRPr="00112A3B" w:rsidRDefault="001E6048">
      <w:pPr>
        <w:rPr>
          <w:rFonts w:cs="Times New Roman"/>
        </w:rPr>
      </w:pPr>
    </w:p>
    <w:p w14:paraId="0FE32DD6" w14:textId="77777777" w:rsidR="001E6048" w:rsidRPr="00112A3B" w:rsidRDefault="001E6048">
      <w:pPr>
        <w:rPr>
          <w:rFonts w:cs="Times New Roman"/>
        </w:rPr>
      </w:pPr>
      <w:r w:rsidRPr="00112A3B">
        <w:rPr>
          <w:rFonts w:cs="Times New Roman"/>
        </w:rPr>
        <w:t>It is the policy of Example CHC to have a credit card policy that supports internal controls and that also aligns with HRSA guidance. It is the intention of the CHC that this policy will address the following:</w:t>
      </w:r>
    </w:p>
    <w:p w14:paraId="19622903" w14:textId="77777777" w:rsidR="001E6048" w:rsidRPr="00112A3B" w:rsidRDefault="001E6048" w:rsidP="001E6048">
      <w:pPr>
        <w:pStyle w:val="ListParagraph"/>
        <w:numPr>
          <w:ilvl w:val="0"/>
          <w:numId w:val="3"/>
        </w:numPr>
      </w:pPr>
      <w:r w:rsidRPr="00112A3B">
        <w:t>Controls in place surrounding use of credit cards</w:t>
      </w:r>
    </w:p>
    <w:p w14:paraId="65CC0964" w14:textId="77777777" w:rsidR="001E6048" w:rsidRPr="00112A3B" w:rsidRDefault="001E6048" w:rsidP="001E6048">
      <w:pPr>
        <w:pStyle w:val="ListParagraph"/>
        <w:numPr>
          <w:ilvl w:val="0"/>
          <w:numId w:val="3"/>
        </w:numPr>
      </w:pPr>
      <w:r w:rsidRPr="00112A3B">
        <w:t>List personnel and purchasing agents authorized to have and use credit cards</w:t>
      </w:r>
    </w:p>
    <w:p w14:paraId="5F912F19" w14:textId="77777777" w:rsidR="001E6048" w:rsidRPr="00112A3B" w:rsidRDefault="001E6048" w:rsidP="001E6048">
      <w:pPr>
        <w:pStyle w:val="ListParagraph"/>
        <w:numPr>
          <w:ilvl w:val="0"/>
          <w:numId w:val="3"/>
        </w:numPr>
      </w:pPr>
      <w:r w:rsidRPr="00112A3B">
        <w:t>Require all expenditures be pre-approved and discuss process</w:t>
      </w:r>
    </w:p>
    <w:p w14:paraId="5FC8AFE4" w14:textId="77777777" w:rsidR="001E6048" w:rsidRPr="00112A3B" w:rsidRDefault="001E6048" w:rsidP="001E6048">
      <w:pPr>
        <w:pStyle w:val="ListParagraph"/>
        <w:numPr>
          <w:ilvl w:val="0"/>
          <w:numId w:val="3"/>
        </w:numPr>
      </w:pPr>
      <w:r w:rsidRPr="00112A3B">
        <w:t>Limit individual amounts and types of expenditures that may be incurred.</w:t>
      </w:r>
    </w:p>
    <w:p w14:paraId="3110A78E" w14:textId="77777777" w:rsidR="001E6048" w:rsidRPr="00112A3B" w:rsidRDefault="001E6048" w:rsidP="001E6048">
      <w:pPr>
        <w:pStyle w:val="ListParagraph"/>
        <w:numPr>
          <w:ilvl w:val="0"/>
          <w:numId w:val="3"/>
        </w:numPr>
      </w:pPr>
      <w:r w:rsidRPr="00112A3B">
        <w:t>Prohibit personal expenditures</w:t>
      </w:r>
    </w:p>
    <w:p w14:paraId="66F8B160" w14:textId="77777777" w:rsidR="001E6048" w:rsidRPr="00112A3B" w:rsidRDefault="001E6048" w:rsidP="00602EE3">
      <w:pPr>
        <w:pStyle w:val="ListParagraph"/>
        <w:numPr>
          <w:ilvl w:val="0"/>
          <w:numId w:val="3"/>
        </w:numPr>
      </w:pPr>
      <w:r w:rsidRPr="00112A3B">
        <w:t>Require receipt submission for review and comparison with credit card statements.</w:t>
      </w:r>
    </w:p>
    <w:p w14:paraId="6DB991F4" w14:textId="77777777" w:rsidR="001E6048" w:rsidRPr="00112A3B" w:rsidRDefault="001E6048">
      <w:pPr>
        <w:rPr>
          <w:rFonts w:cs="Times New Roman"/>
        </w:rPr>
      </w:pPr>
    </w:p>
    <w:p w14:paraId="032134EE" w14:textId="77777777" w:rsidR="001E6048" w:rsidRPr="00112A3B" w:rsidRDefault="001E6048">
      <w:pPr>
        <w:rPr>
          <w:rFonts w:cs="Times New Roman"/>
        </w:rPr>
      </w:pPr>
      <w:r w:rsidRPr="00112A3B">
        <w:rPr>
          <w:rFonts w:cs="Times New Roman"/>
        </w:rPr>
        <w:t xml:space="preserve">The purpose of this </w:t>
      </w:r>
      <w:r w:rsidR="00251F7E" w:rsidRPr="00112A3B">
        <w:rPr>
          <w:rFonts w:cs="Times New Roman"/>
        </w:rPr>
        <w:t xml:space="preserve">policy is to form the </w:t>
      </w:r>
      <w:r w:rsidR="00F571E9" w:rsidRPr="00112A3B">
        <w:rPr>
          <w:rFonts w:cs="Times New Roman"/>
        </w:rPr>
        <w:t>foundation for employee and purchasing agent use of company credit cards, and to assure they are followed, under all circumstances, by any employee and/or purchasing agent given the authority to make credit card purchases.</w:t>
      </w:r>
    </w:p>
    <w:p w14:paraId="2BF84888" w14:textId="77777777" w:rsidR="00F571E9" w:rsidRPr="00112A3B" w:rsidRDefault="00F571E9">
      <w:pPr>
        <w:rPr>
          <w:rFonts w:cs="Times New Roman"/>
        </w:rPr>
      </w:pPr>
    </w:p>
    <w:p w14:paraId="6F035A7A" w14:textId="77777777" w:rsidR="001E6048" w:rsidRPr="00112A3B" w:rsidRDefault="001E6048" w:rsidP="001E6048">
      <w:pPr>
        <w:numPr>
          <w:ilvl w:val="0"/>
          <w:numId w:val="1"/>
        </w:numPr>
        <w:spacing w:after="0" w:line="240" w:lineRule="auto"/>
        <w:rPr>
          <w:rFonts w:cs="Times New Roman"/>
          <w:b/>
        </w:rPr>
      </w:pPr>
      <w:r w:rsidRPr="00112A3B">
        <w:rPr>
          <w:rFonts w:cs="Times New Roman"/>
          <w:b/>
        </w:rPr>
        <w:t>Accountability</w:t>
      </w:r>
    </w:p>
    <w:p w14:paraId="6EB2FFB1" w14:textId="77777777" w:rsidR="001E6048" w:rsidRPr="00112A3B" w:rsidRDefault="001E6048" w:rsidP="001E6048">
      <w:pPr>
        <w:ind w:left="720"/>
        <w:rPr>
          <w:rFonts w:cs="Times New Roman"/>
          <w:b/>
        </w:rPr>
      </w:pPr>
    </w:p>
    <w:p w14:paraId="64080F6D" w14:textId="77777777" w:rsidR="001E6048" w:rsidRPr="00112A3B" w:rsidRDefault="001E6048" w:rsidP="008F45BE">
      <w:pPr>
        <w:ind w:firstLine="360"/>
        <w:rPr>
          <w:rFonts w:cs="Times New Roman"/>
        </w:rPr>
      </w:pPr>
      <w:r w:rsidRPr="00112A3B">
        <w:rPr>
          <w:rFonts w:cs="Times New Roman"/>
        </w:rPr>
        <w:t>The following Health Center staff are responsible for ensuring compliance with and overseeing the following aspects of this board approved policy:</w:t>
      </w:r>
    </w:p>
    <w:p w14:paraId="2444B89E" w14:textId="77777777" w:rsidR="001E6048" w:rsidRPr="00112A3B" w:rsidRDefault="001E6048" w:rsidP="001E6048">
      <w:pPr>
        <w:pStyle w:val="ListParagraph"/>
      </w:pPr>
    </w:p>
    <w:p w14:paraId="7B6B4E13" w14:textId="77777777" w:rsidR="001E6048" w:rsidRPr="00112A3B" w:rsidRDefault="001E6048" w:rsidP="001E6048">
      <w:pPr>
        <w:pStyle w:val="ListParagraph"/>
        <w:numPr>
          <w:ilvl w:val="0"/>
          <w:numId w:val="2"/>
        </w:numPr>
        <w:rPr>
          <w:b/>
        </w:rPr>
      </w:pPr>
      <w:r w:rsidRPr="00112A3B">
        <w:t>Chief Financial Officer</w:t>
      </w:r>
    </w:p>
    <w:p w14:paraId="5E9F3672" w14:textId="77777777" w:rsidR="001E6048" w:rsidRPr="00112A3B" w:rsidRDefault="001E6048">
      <w:pPr>
        <w:rPr>
          <w:rFonts w:cs="Times New Roman"/>
        </w:rPr>
      </w:pPr>
    </w:p>
    <w:p w14:paraId="1CF8A3E2" w14:textId="77777777" w:rsidR="001E6048" w:rsidRPr="00112A3B" w:rsidRDefault="001E6048" w:rsidP="001E6048">
      <w:pPr>
        <w:numPr>
          <w:ilvl w:val="0"/>
          <w:numId w:val="1"/>
        </w:numPr>
        <w:spacing w:after="0" w:line="240" w:lineRule="auto"/>
        <w:rPr>
          <w:rFonts w:cs="Times New Roman"/>
          <w:b/>
        </w:rPr>
      </w:pPr>
      <w:r w:rsidRPr="00112A3B">
        <w:rPr>
          <w:rFonts w:cs="Times New Roman"/>
          <w:b/>
        </w:rPr>
        <w:t>General Credit Card Use Guidelines</w:t>
      </w:r>
    </w:p>
    <w:p w14:paraId="09B3E13B" w14:textId="77777777" w:rsidR="001E6048" w:rsidRPr="00112A3B" w:rsidRDefault="001E6048">
      <w:pPr>
        <w:rPr>
          <w:rFonts w:cs="Times New Roman"/>
        </w:rPr>
      </w:pPr>
    </w:p>
    <w:p w14:paraId="54D45CE3" w14:textId="77777777" w:rsidR="001E6048" w:rsidRPr="00112A3B" w:rsidRDefault="00CF0AF7" w:rsidP="008F45BE">
      <w:pPr>
        <w:ind w:firstLine="360"/>
        <w:rPr>
          <w:rFonts w:cs="Times New Roman"/>
        </w:rPr>
      </w:pPr>
      <w:r w:rsidRPr="00112A3B">
        <w:rPr>
          <w:rFonts w:cs="Times New Roman"/>
        </w:rPr>
        <w:t xml:space="preserve">Purchases made with a company credit card have the same requirements as regular purchases. The CEO must approve card holders. A list of card holders and purchasing agents with corresponding credit card limits follows this policy. </w:t>
      </w:r>
    </w:p>
    <w:p w14:paraId="71FC631A" w14:textId="77777777" w:rsidR="001E6048" w:rsidRPr="00112A3B" w:rsidRDefault="00CF0AF7" w:rsidP="008F45BE">
      <w:pPr>
        <w:ind w:firstLine="360"/>
        <w:rPr>
          <w:rFonts w:cs="Times New Roman"/>
        </w:rPr>
      </w:pPr>
      <w:r w:rsidRPr="00112A3B">
        <w:rPr>
          <w:rFonts w:cs="Times New Roman"/>
        </w:rPr>
        <w:t xml:space="preserve">Card holders must contact the central administrative office for purchase order approval prior to purchase. </w:t>
      </w:r>
      <w:r w:rsidR="00F43612" w:rsidRPr="00112A3B">
        <w:rPr>
          <w:rFonts w:cs="Times New Roman"/>
        </w:rPr>
        <w:t xml:space="preserve">It is the responsibility of the administrative office to ensure proper approvals are being met for the Health Center’s approval threshold requirements and that the purchase is not in violation with procurement guidelines. </w:t>
      </w:r>
      <w:r w:rsidRPr="00112A3B">
        <w:rPr>
          <w:rFonts w:cs="Times New Roman"/>
        </w:rPr>
        <w:t xml:space="preserve">The approved purchase order will be assigned a number by the Accounts Payable Supervisor. Credit card purchases have a separate purchase order numbering system. That number will be entered on the purchase order/payment voucher by card </w:t>
      </w:r>
      <w:r w:rsidRPr="00112A3B">
        <w:rPr>
          <w:rFonts w:cs="Times New Roman"/>
        </w:rPr>
        <w:lastRenderedPageBreak/>
        <w:t xml:space="preserve">holder. The purchase order number and all information will be entered into the credit card purchase order log. After the purchase is made, the original invoice is attached to the purchase order/payment voucher and submitted to the central administrative office no later than ten days after purchase. </w:t>
      </w:r>
    </w:p>
    <w:p w14:paraId="7A72D933" w14:textId="77777777" w:rsidR="001E6048" w:rsidRPr="00112A3B" w:rsidRDefault="00CF0AF7" w:rsidP="008F45BE">
      <w:pPr>
        <w:ind w:firstLine="360"/>
        <w:rPr>
          <w:rFonts w:cs="Times New Roman"/>
        </w:rPr>
      </w:pPr>
      <w:r w:rsidRPr="00112A3B">
        <w:rPr>
          <w:rFonts w:cs="Times New Roman"/>
        </w:rPr>
        <w:t>Payments will be made to credit card company according to cash disbursement procedures. No obligation wil</w:t>
      </w:r>
      <w:r w:rsidR="001E6048" w:rsidRPr="00112A3B">
        <w:rPr>
          <w:rFonts w:cs="Times New Roman"/>
        </w:rPr>
        <w:t>l</w:t>
      </w:r>
      <w:r w:rsidRPr="00112A3B">
        <w:rPr>
          <w:rFonts w:cs="Times New Roman"/>
        </w:rPr>
        <w:t xml:space="preserve"> be paid without original invoice attached to the purchase order/payment voucher. In addition, all credit card statements will be reviewed by the Finance Committee of the Board of Directors each month. </w:t>
      </w:r>
    </w:p>
    <w:p w14:paraId="23036401" w14:textId="77777777" w:rsidR="00CF0AF7" w:rsidRPr="00112A3B" w:rsidRDefault="00CF0AF7">
      <w:pPr>
        <w:ind w:firstLine="360"/>
        <w:rPr>
          <w:rFonts w:cs="Times New Roman"/>
        </w:rPr>
      </w:pPr>
      <w:r w:rsidRPr="00112A3B">
        <w:rPr>
          <w:rFonts w:cs="Times New Roman"/>
        </w:rPr>
        <w:t xml:space="preserve">Personal expenditures are exclusively prohibited. If an employee card holder or purchasing agent makes an incidental purchase with the Health Center credit card, it is to be reported immediately and repaid to the Accounts Payable Supervisor. Repeated incidental purchases on the credit card will result in deactivation of the employee card holder or purchasing agents credit card. </w:t>
      </w:r>
    </w:p>
    <w:p w14:paraId="5420322F" w14:textId="77777777" w:rsidR="008F45BE" w:rsidRPr="00112A3B" w:rsidRDefault="008F45BE" w:rsidP="008F45BE">
      <w:pPr>
        <w:ind w:firstLine="360"/>
        <w:rPr>
          <w:rFonts w:cs="Times New Roman"/>
        </w:rPr>
      </w:pPr>
      <w:r w:rsidRPr="00112A3B">
        <w:rPr>
          <w:rFonts w:cs="Times New Roman"/>
        </w:rPr>
        <w:t>Table 1:  Personnel, positions, and card limits for Corporate Purchasing Cards</w:t>
      </w:r>
    </w:p>
    <w:tbl>
      <w:tblPr>
        <w:tblStyle w:val="TableGrid"/>
        <w:tblW w:w="0" w:type="auto"/>
        <w:tblLook w:val="04A0" w:firstRow="1" w:lastRow="0" w:firstColumn="1" w:lastColumn="0" w:noHBand="0" w:noVBand="1"/>
      </w:tblPr>
      <w:tblGrid>
        <w:gridCol w:w="2342"/>
        <w:gridCol w:w="2350"/>
        <w:gridCol w:w="2325"/>
        <w:gridCol w:w="2333"/>
      </w:tblGrid>
      <w:tr w:rsidR="00CF0AF7" w:rsidRPr="00112A3B" w14:paraId="7563DB82" w14:textId="77777777" w:rsidTr="00CF0AF7">
        <w:tc>
          <w:tcPr>
            <w:tcW w:w="2394" w:type="dxa"/>
          </w:tcPr>
          <w:p w14:paraId="72321B46" w14:textId="77777777" w:rsidR="00CF0AF7" w:rsidRPr="00112A3B" w:rsidRDefault="00CF0AF7">
            <w:pPr>
              <w:rPr>
                <w:rFonts w:cs="Times New Roman"/>
              </w:rPr>
            </w:pPr>
            <w:r w:rsidRPr="00112A3B">
              <w:rPr>
                <w:rFonts w:cs="Times New Roman"/>
              </w:rPr>
              <w:t>Employee Name</w:t>
            </w:r>
          </w:p>
        </w:tc>
        <w:tc>
          <w:tcPr>
            <w:tcW w:w="2394" w:type="dxa"/>
          </w:tcPr>
          <w:p w14:paraId="074D4358" w14:textId="77777777" w:rsidR="00CF0AF7" w:rsidRPr="00112A3B" w:rsidRDefault="00CF0AF7">
            <w:pPr>
              <w:rPr>
                <w:rFonts w:cs="Times New Roman"/>
              </w:rPr>
            </w:pPr>
            <w:r w:rsidRPr="00112A3B">
              <w:rPr>
                <w:rFonts w:cs="Times New Roman"/>
              </w:rPr>
              <w:t>Employee Title</w:t>
            </w:r>
          </w:p>
        </w:tc>
        <w:tc>
          <w:tcPr>
            <w:tcW w:w="2394" w:type="dxa"/>
          </w:tcPr>
          <w:p w14:paraId="3A1D44A3" w14:textId="77777777" w:rsidR="00CF0AF7" w:rsidRPr="00112A3B" w:rsidRDefault="00CF0AF7">
            <w:pPr>
              <w:rPr>
                <w:rFonts w:cs="Times New Roman"/>
              </w:rPr>
            </w:pPr>
            <w:r w:rsidRPr="00112A3B">
              <w:rPr>
                <w:rFonts w:cs="Times New Roman"/>
              </w:rPr>
              <w:t xml:space="preserve">Last Digits of Card </w:t>
            </w:r>
          </w:p>
        </w:tc>
        <w:tc>
          <w:tcPr>
            <w:tcW w:w="2394" w:type="dxa"/>
          </w:tcPr>
          <w:p w14:paraId="0FDEE780" w14:textId="77777777" w:rsidR="00CF0AF7" w:rsidRPr="00112A3B" w:rsidRDefault="00CF0AF7">
            <w:pPr>
              <w:rPr>
                <w:rFonts w:cs="Times New Roman"/>
              </w:rPr>
            </w:pPr>
            <w:r w:rsidRPr="00112A3B">
              <w:rPr>
                <w:rFonts w:cs="Times New Roman"/>
              </w:rPr>
              <w:t>Card Limit</w:t>
            </w:r>
          </w:p>
        </w:tc>
      </w:tr>
      <w:tr w:rsidR="00CF0AF7" w:rsidRPr="00112A3B" w14:paraId="7EB3044C" w14:textId="77777777" w:rsidTr="00CF0AF7">
        <w:tc>
          <w:tcPr>
            <w:tcW w:w="2394" w:type="dxa"/>
          </w:tcPr>
          <w:p w14:paraId="12E90B68" w14:textId="77777777" w:rsidR="00CF0AF7" w:rsidRPr="00112A3B" w:rsidRDefault="00CF0AF7">
            <w:pPr>
              <w:rPr>
                <w:rFonts w:cs="Times New Roman"/>
              </w:rPr>
            </w:pPr>
            <w:r w:rsidRPr="00112A3B">
              <w:rPr>
                <w:rFonts w:cs="Times New Roman"/>
              </w:rPr>
              <w:t>Smith, Sara</w:t>
            </w:r>
          </w:p>
        </w:tc>
        <w:tc>
          <w:tcPr>
            <w:tcW w:w="2394" w:type="dxa"/>
          </w:tcPr>
          <w:p w14:paraId="11674DF4" w14:textId="77777777" w:rsidR="00CF0AF7" w:rsidRPr="00112A3B" w:rsidRDefault="00CF0AF7">
            <w:pPr>
              <w:rPr>
                <w:rFonts w:cs="Times New Roman"/>
              </w:rPr>
            </w:pPr>
            <w:r w:rsidRPr="00112A3B">
              <w:rPr>
                <w:rFonts w:cs="Times New Roman"/>
              </w:rPr>
              <w:t>HR Coordinator</w:t>
            </w:r>
          </w:p>
        </w:tc>
        <w:tc>
          <w:tcPr>
            <w:tcW w:w="2394" w:type="dxa"/>
          </w:tcPr>
          <w:p w14:paraId="432653D2" w14:textId="77777777" w:rsidR="00CF0AF7" w:rsidRPr="00112A3B" w:rsidRDefault="00CF0AF7">
            <w:pPr>
              <w:rPr>
                <w:rFonts w:cs="Times New Roman"/>
              </w:rPr>
            </w:pPr>
            <w:r w:rsidRPr="00112A3B">
              <w:rPr>
                <w:rFonts w:cs="Times New Roman"/>
              </w:rPr>
              <w:t>6994</w:t>
            </w:r>
          </w:p>
        </w:tc>
        <w:tc>
          <w:tcPr>
            <w:tcW w:w="2394" w:type="dxa"/>
          </w:tcPr>
          <w:p w14:paraId="306A7263" w14:textId="77777777" w:rsidR="00CF0AF7" w:rsidRPr="00112A3B" w:rsidRDefault="00F43612">
            <w:pPr>
              <w:rPr>
                <w:rFonts w:cs="Times New Roman"/>
              </w:rPr>
            </w:pPr>
            <w:r w:rsidRPr="00112A3B">
              <w:rPr>
                <w:rFonts w:cs="Times New Roman"/>
              </w:rPr>
              <w:t>10</w:t>
            </w:r>
            <w:r w:rsidR="00CF0AF7" w:rsidRPr="00112A3B">
              <w:rPr>
                <w:rFonts w:cs="Times New Roman"/>
              </w:rPr>
              <w:t>,000</w:t>
            </w:r>
          </w:p>
        </w:tc>
      </w:tr>
      <w:tr w:rsidR="00CF0AF7" w:rsidRPr="00112A3B" w14:paraId="60C96ED8" w14:textId="77777777" w:rsidTr="00CF0AF7">
        <w:tc>
          <w:tcPr>
            <w:tcW w:w="2394" w:type="dxa"/>
          </w:tcPr>
          <w:p w14:paraId="34B8CAA0" w14:textId="77777777" w:rsidR="00CF0AF7" w:rsidRPr="00112A3B" w:rsidRDefault="00F43612">
            <w:pPr>
              <w:rPr>
                <w:rFonts w:cs="Times New Roman"/>
              </w:rPr>
            </w:pPr>
            <w:r w:rsidRPr="00112A3B">
              <w:rPr>
                <w:rFonts w:cs="Times New Roman"/>
              </w:rPr>
              <w:t>Brooks, Ted</w:t>
            </w:r>
          </w:p>
        </w:tc>
        <w:tc>
          <w:tcPr>
            <w:tcW w:w="2394" w:type="dxa"/>
          </w:tcPr>
          <w:p w14:paraId="30422F12" w14:textId="77777777" w:rsidR="00CF0AF7" w:rsidRPr="00112A3B" w:rsidRDefault="00F43612">
            <w:pPr>
              <w:rPr>
                <w:rFonts w:cs="Times New Roman"/>
              </w:rPr>
            </w:pPr>
            <w:r w:rsidRPr="00112A3B">
              <w:rPr>
                <w:rFonts w:cs="Times New Roman"/>
              </w:rPr>
              <w:t xml:space="preserve">Purchaser </w:t>
            </w:r>
          </w:p>
        </w:tc>
        <w:tc>
          <w:tcPr>
            <w:tcW w:w="2394" w:type="dxa"/>
          </w:tcPr>
          <w:p w14:paraId="7614A24C" w14:textId="77777777" w:rsidR="00CF0AF7" w:rsidRPr="00112A3B" w:rsidRDefault="00F43612">
            <w:pPr>
              <w:rPr>
                <w:rFonts w:cs="Times New Roman"/>
              </w:rPr>
            </w:pPr>
            <w:r w:rsidRPr="00112A3B">
              <w:rPr>
                <w:rFonts w:cs="Times New Roman"/>
              </w:rPr>
              <w:t>6995</w:t>
            </w:r>
          </w:p>
        </w:tc>
        <w:tc>
          <w:tcPr>
            <w:tcW w:w="2394" w:type="dxa"/>
          </w:tcPr>
          <w:p w14:paraId="10A338DF" w14:textId="77777777" w:rsidR="00CF0AF7" w:rsidRPr="00112A3B" w:rsidRDefault="00F43612">
            <w:pPr>
              <w:rPr>
                <w:rFonts w:cs="Times New Roman"/>
              </w:rPr>
            </w:pPr>
            <w:r w:rsidRPr="00112A3B">
              <w:rPr>
                <w:rFonts w:cs="Times New Roman"/>
              </w:rPr>
              <w:t>25,000</w:t>
            </w:r>
          </w:p>
        </w:tc>
      </w:tr>
      <w:tr w:rsidR="00CF0AF7" w:rsidRPr="00112A3B" w14:paraId="581F8A03" w14:textId="77777777" w:rsidTr="00CF0AF7">
        <w:tc>
          <w:tcPr>
            <w:tcW w:w="2394" w:type="dxa"/>
          </w:tcPr>
          <w:p w14:paraId="2AAE3846" w14:textId="77777777" w:rsidR="00CF0AF7" w:rsidRPr="00112A3B" w:rsidRDefault="00F43612">
            <w:pPr>
              <w:rPr>
                <w:rFonts w:cs="Times New Roman"/>
              </w:rPr>
            </w:pPr>
            <w:r w:rsidRPr="00112A3B">
              <w:rPr>
                <w:rFonts w:cs="Times New Roman"/>
              </w:rPr>
              <w:t>Kelly, Kim</w:t>
            </w:r>
          </w:p>
        </w:tc>
        <w:tc>
          <w:tcPr>
            <w:tcW w:w="2394" w:type="dxa"/>
          </w:tcPr>
          <w:p w14:paraId="78B1AD2B" w14:textId="77777777" w:rsidR="00CF0AF7" w:rsidRPr="00112A3B" w:rsidRDefault="00F43612">
            <w:pPr>
              <w:rPr>
                <w:rFonts w:cs="Times New Roman"/>
              </w:rPr>
            </w:pPr>
            <w:r w:rsidRPr="00112A3B">
              <w:rPr>
                <w:rFonts w:cs="Times New Roman"/>
              </w:rPr>
              <w:t>CEO</w:t>
            </w:r>
          </w:p>
        </w:tc>
        <w:tc>
          <w:tcPr>
            <w:tcW w:w="2394" w:type="dxa"/>
          </w:tcPr>
          <w:p w14:paraId="534D3F5C" w14:textId="77777777" w:rsidR="00CF0AF7" w:rsidRPr="00112A3B" w:rsidRDefault="00F43612">
            <w:pPr>
              <w:rPr>
                <w:rFonts w:cs="Times New Roman"/>
              </w:rPr>
            </w:pPr>
            <w:r w:rsidRPr="00112A3B">
              <w:rPr>
                <w:rFonts w:cs="Times New Roman"/>
              </w:rPr>
              <w:t>6996</w:t>
            </w:r>
          </w:p>
        </w:tc>
        <w:tc>
          <w:tcPr>
            <w:tcW w:w="2394" w:type="dxa"/>
          </w:tcPr>
          <w:p w14:paraId="55848643" w14:textId="77777777" w:rsidR="00CF0AF7" w:rsidRPr="00112A3B" w:rsidRDefault="00F43612">
            <w:pPr>
              <w:rPr>
                <w:rFonts w:cs="Times New Roman"/>
              </w:rPr>
            </w:pPr>
            <w:r w:rsidRPr="00112A3B">
              <w:rPr>
                <w:rFonts w:cs="Times New Roman"/>
              </w:rPr>
              <w:t>100,000</w:t>
            </w:r>
          </w:p>
        </w:tc>
      </w:tr>
    </w:tbl>
    <w:p w14:paraId="4CFE6E7B" w14:textId="77777777" w:rsidR="00CF0AF7" w:rsidRPr="00112A3B" w:rsidRDefault="00CF0AF7">
      <w:pPr>
        <w:rPr>
          <w:rFonts w:cs="Times New Roman"/>
        </w:rPr>
      </w:pPr>
    </w:p>
    <w:p w14:paraId="57E132E8" w14:textId="77777777" w:rsidR="00CF0AF7" w:rsidRPr="00112A3B" w:rsidRDefault="00CF0AF7">
      <w:pPr>
        <w:rPr>
          <w:rFonts w:cs="Times New Roman"/>
        </w:rPr>
      </w:pPr>
    </w:p>
    <w:sectPr w:rsidR="00CF0AF7" w:rsidRPr="00112A3B" w:rsidSect="009D41A1">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0DC69" w14:textId="77777777" w:rsidR="00A65124" w:rsidRDefault="00A65124" w:rsidP="00346FDF">
      <w:pPr>
        <w:spacing w:after="0" w:line="240" w:lineRule="auto"/>
      </w:pPr>
      <w:r>
        <w:separator/>
      </w:r>
    </w:p>
  </w:endnote>
  <w:endnote w:type="continuationSeparator" w:id="0">
    <w:p w14:paraId="706F44C5" w14:textId="77777777" w:rsidR="00A65124" w:rsidRDefault="00A65124" w:rsidP="0034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EAD2D" w14:textId="77777777" w:rsidR="00A65124" w:rsidRDefault="00A65124" w:rsidP="00346FDF">
      <w:pPr>
        <w:spacing w:after="0" w:line="240" w:lineRule="auto"/>
      </w:pPr>
      <w:r>
        <w:separator/>
      </w:r>
    </w:p>
  </w:footnote>
  <w:footnote w:type="continuationSeparator" w:id="0">
    <w:p w14:paraId="1B3FF1FF" w14:textId="77777777" w:rsidR="00A65124" w:rsidRDefault="00A65124" w:rsidP="0034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994F0" w14:textId="77777777" w:rsidR="009D41A1" w:rsidRDefault="009D41A1">
    <w:pPr>
      <w:pStyle w:val="Header"/>
    </w:pPr>
    <w:r>
      <w:rPr>
        <w:noProof/>
      </w:rPr>
      <mc:AlternateContent>
        <mc:Choice Requires="wps">
          <w:drawing>
            <wp:anchor distT="0" distB="0" distL="114300" distR="114300" simplePos="0" relativeHeight="251659264" behindDoc="0" locked="0" layoutInCell="1" allowOverlap="1" wp14:anchorId="700B1BAB" wp14:editId="75315E76">
              <wp:simplePos x="0" y="0"/>
              <wp:positionH relativeFrom="column">
                <wp:posOffset>1104900</wp:posOffset>
              </wp:positionH>
              <wp:positionV relativeFrom="paragraph">
                <wp:posOffset>123825</wp:posOffset>
              </wp:positionV>
              <wp:extent cx="5577840" cy="533400"/>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AE065" w14:textId="77777777" w:rsidR="009D41A1" w:rsidRPr="00112A3B" w:rsidRDefault="009D41A1" w:rsidP="009D41A1">
                          <w:pPr>
                            <w:jc w:val="center"/>
                            <w:rPr>
                              <w:rFonts w:cs="Times New Roman"/>
                              <w:caps/>
                              <w:sz w:val="56"/>
                              <w:szCs w:val="56"/>
                            </w:rPr>
                          </w:pPr>
                          <w:r w:rsidRPr="00112A3B">
                            <w:rPr>
                              <w:rFonts w:cs="Times New Roman"/>
                              <w:caps/>
                              <w:sz w:val="56"/>
                              <w:szCs w:val="56"/>
                            </w:rPr>
                            <w:t>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0B1BAB" id="_x0000_t202" coordsize="21600,21600" o:spt="202" path="m,l,21600r21600,l21600,xe">
              <v:stroke joinstyle="miter"/>
              <v:path gradientshapeok="t" o:connecttype="rect"/>
            </v:shapetype>
            <v:shape id="Text Box 2" o:spid="_x0000_s1026" type="#_x0000_t202" style="position:absolute;margin-left:87pt;margin-top:9.75pt;width:439.2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" stroked="f">
              <v:textbox>
                <w:txbxContent>
                  <w:p w14:paraId="756AE065" w14:textId="77777777" w:rsidR="009D41A1" w:rsidRPr="00112A3B" w:rsidRDefault="009D41A1" w:rsidP="009D41A1">
                    <w:pPr>
                      <w:jc w:val="center"/>
                      <w:rPr>
                        <w:rFonts w:cs="Times New Roman"/>
                        <w:caps/>
                        <w:sz w:val="56"/>
                        <w:szCs w:val="56"/>
                      </w:rPr>
                    </w:pPr>
                    <w:r w:rsidRPr="00112A3B">
                      <w:rPr>
                        <w:rFonts w:cs="Times New Roman"/>
                        <w:caps/>
                        <w:sz w:val="56"/>
                        <w:szCs w:val="56"/>
                      </w:rPr>
                      <w:t>agreement</w:t>
                    </w:r>
                  </w:p>
                </w:txbxContent>
              </v:textbox>
            </v:shape>
          </w:pict>
        </mc:Fallback>
      </mc:AlternateContent>
    </w:r>
    <w:r>
      <w:rPr>
        <w:noProof/>
      </w:rPr>
      <w:drawing>
        <wp:inline distT="0" distB="0" distL="0" distR="0" wp14:anchorId="34888DFC" wp14:editId="75BBBDF5">
          <wp:extent cx="5943600" cy="855320"/>
          <wp:effectExtent l="0" t="0" r="0" b="254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A6F59"/>
    <w:multiLevelType w:val="hybridMultilevel"/>
    <w:tmpl w:val="329868C2"/>
    <w:lvl w:ilvl="0" w:tplc="04090011">
      <w:start w:val="1"/>
      <w:numFmt w:val="decimal"/>
      <w:lvlText w:val="%1)"/>
      <w:lvlJc w:val="left"/>
      <w:pPr>
        <w:tabs>
          <w:tab w:val="num" w:pos="720"/>
        </w:tabs>
        <w:ind w:left="720" w:hanging="360"/>
      </w:pPr>
      <w:rPr>
        <w:rFonts w:hint="default"/>
      </w:rPr>
    </w:lvl>
    <w:lvl w:ilvl="1" w:tplc="D7080ECA">
      <w:start w:val="1"/>
      <w:numFmt w:val="lowerLetter"/>
      <w:lvlText w:val="%2."/>
      <w:lvlJc w:val="left"/>
      <w:pPr>
        <w:tabs>
          <w:tab w:val="num" w:pos="1440"/>
        </w:tabs>
        <w:ind w:left="1440" w:hanging="360"/>
      </w:pPr>
      <w:rPr>
        <w:b/>
      </w:rPr>
    </w:lvl>
    <w:lvl w:ilvl="2" w:tplc="04090005">
      <w:start w:val="1"/>
      <w:numFmt w:val="bullet"/>
      <w:lvlText w:val=""/>
      <w:lvlJc w:val="left"/>
      <w:pPr>
        <w:tabs>
          <w:tab w:val="num" w:pos="2160"/>
        </w:tabs>
        <w:ind w:left="2160" w:hanging="18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F254AC5"/>
    <w:multiLevelType w:val="hybridMultilevel"/>
    <w:tmpl w:val="80F6EBF8"/>
    <w:lvl w:ilvl="0" w:tplc="B6AEE6A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B655F9"/>
    <w:multiLevelType w:val="hybridMultilevel"/>
    <w:tmpl w:val="91BC7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AF7"/>
    <w:rsid w:val="00112A3B"/>
    <w:rsid w:val="00163EF2"/>
    <w:rsid w:val="001E6048"/>
    <w:rsid w:val="00251F7E"/>
    <w:rsid w:val="00346FDF"/>
    <w:rsid w:val="00486B07"/>
    <w:rsid w:val="00572FD4"/>
    <w:rsid w:val="00602EE3"/>
    <w:rsid w:val="0061295B"/>
    <w:rsid w:val="008F45BE"/>
    <w:rsid w:val="009D41A1"/>
    <w:rsid w:val="00A65124"/>
    <w:rsid w:val="00CF0AF7"/>
    <w:rsid w:val="00D96725"/>
    <w:rsid w:val="00F43612"/>
    <w:rsid w:val="00F57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B769F5"/>
  <w15:chartTrackingRefBased/>
  <w15:docId w15:val="{5E46EA06-2E5E-475F-AA82-B5586E15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ngsana New"/>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46FDF"/>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rsid w:val="00346FDF"/>
    <w:rPr>
      <w:rFonts w:eastAsia="Times New Roman" w:cs="Times New Roman"/>
      <w:szCs w:val="24"/>
    </w:rPr>
  </w:style>
  <w:style w:type="paragraph" w:styleId="Footer">
    <w:name w:val="footer"/>
    <w:basedOn w:val="Normal"/>
    <w:link w:val="FooterChar"/>
    <w:rsid w:val="00346FDF"/>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rsid w:val="00346FDF"/>
    <w:rPr>
      <w:rFonts w:eastAsia="Times New Roman" w:cs="Times New Roman"/>
      <w:szCs w:val="24"/>
    </w:rPr>
  </w:style>
  <w:style w:type="paragraph" w:styleId="BalloonText">
    <w:name w:val="Balloon Text"/>
    <w:basedOn w:val="Normal"/>
    <w:link w:val="BalloonTextChar"/>
    <w:uiPriority w:val="99"/>
    <w:semiHidden/>
    <w:unhideWhenUsed/>
    <w:rsid w:val="00346F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FDF"/>
    <w:rPr>
      <w:rFonts w:ascii="Segoe UI" w:hAnsi="Segoe UI" w:cs="Segoe UI"/>
      <w:sz w:val="18"/>
      <w:szCs w:val="18"/>
    </w:rPr>
  </w:style>
  <w:style w:type="paragraph" w:styleId="ListParagraph">
    <w:name w:val="List Paragraph"/>
    <w:basedOn w:val="Normal"/>
    <w:uiPriority w:val="34"/>
    <w:qFormat/>
    <w:rsid w:val="001E6048"/>
    <w:pPr>
      <w:spacing w:after="0" w:line="240" w:lineRule="auto"/>
      <w:ind w:left="720"/>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888E8-0A85-419F-A2A9-0B2AB311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O'Dell, Megan</dc:creator>
  <cp:keywords/>
  <dc:description/>
  <cp:lastModifiedBy>Glor, Czarina</cp:lastModifiedBy>
  <cp:revision>3</cp:revision>
  <dcterms:created xsi:type="dcterms:W3CDTF">2020-04-07T15:51:00Z</dcterms:created>
  <dcterms:modified xsi:type="dcterms:W3CDTF">2020-11-25T20:51:00Z</dcterms:modified>
</cp:coreProperties>
</file>