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5A2C4" w14:textId="78F8C6A4" w:rsidR="006E4E81" w:rsidRPr="00EB05F4" w:rsidRDefault="00AB25B1" w:rsidP="00076F58">
      <w:pPr>
        <w:pStyle w:val="Heading1"/>
        <w:spacing w:after="0" w:line="240" w:lineRule="auto"/>
        <w:rPr>
          <w:sz w:val="22"/>
          <w:szCs w:val="22"/>
        </w:rPr>
      </w:pPr>
      <w:bookmarkStart w:id="0" w:name="_Hlk62717961"/>
      <w:bookmarkEnd w:id="0"/>
      <w:r w:rsidRPr="00EB05F4">
        <w:rPr>
          <w:sz w:val="22"/>
          <w:szCs w:val="22"/>
        </w:rPr>
        <w:t xml:space="preserve">Certolizumab Pegol </w:t>
      </w:r>
      <w:r w:rsidR="007A2246" w:rsidRPr="00EB05F4">
        <w:rPr>
          <w:sz w:val="22"/>
          <w:szCs w:val="22"/>
        </w:rPr>
        <w:t xml:space="preserve">Efficacy </w:t>
      </w:r>
      <w:r w:rsidR="00562A05" w:rsidRPr="00EB05F4">
        <w:rPr>
          <w:sz w:val="22"/>
          <w:szCs w:val="22"/>
        </w:rPr>
        <w:t xml:space="preserve">in </w:t>
      </w:r>
      <w:r w:rsidR="00AB4045" w:rsidRPr="00EB05F4">
        <w:rPr>
          <w:sz w:val="22"/>
          <w:szCs w:val="22"/>
        </w:rPr>
        <w:t xml:space="preserve">Patients with </w:t>
      </w:r>
      <w:r w:rsidR="003A5AB0" w:rsidRPr="00EB05F4">
        <w:rPr>
          <w:sz w:val="22"/>
          <w:szCs w:val="22"/>
        </w:rPr>
        <w:t>Non</w:t>
      </w:r>
      <w:r w:rsidR="00562A05" w:rsidRPr="00EB05F4">
        <w:rPr>
          <w:sz w:val="22"/>
          <w:szCs w:val="22"/>
        </w:rPr>
        <w:t>-</w:t>
      </w:r>
      <w:r w:rsidR="003A5AB0" w:rsidRPr="00EB05F4">
        <w:rPr>
          <w:sz w:val="22"/>
          <w:szCs w:val="22"/>
        </w:rPr>
        <w:t>Radiographic Axial Spondyloarthritis</w:t>
      </w:r>
      <w:r w:rsidR="00203690" w:rsidRPr="00EB05F4">
        <w:rPr>
          <w:sz w:val="22"/>
          <w:szCs w:val="22"/>
        </w:rPr>
        <w:t xml:space="preserve"> </w:t>
      </w:r>
      <w:r w:rsidRPr="00EB05F4">
        <w:rPr>
          <w:sz w:val="22"/>
          <w:szCs w:val="22"/>
        </w:rPr>
        <w:t>Stratified by Baseline MRI</w:t>
      </w:r>
      <w:r w:rsidR="00046481" w:rsidRPr="00EB05F4">
        <w:rPr>
          <w:sz w:val="22"/>
          <w:szCs w:val="22"/>
        </w:rPr>
        <w:t xml:space="preserve"> and </w:t>
      </w:r>
      <w:r w:rsidRPr="00EB05F4">
        <w:rPr>
          <w:sz w:val="22"/>
          <w:szCs w:val="22"/>
        </w:rPr>
        <w:t>C-Reactive Protein Status</w:t>
      </w:r>
    </w:p>
    <w:p w14:paraId="5E6583A2" w14:textId="0D01C465" w:rsidR="003A00A7" w:rsidRPr="006B5F12" w:rsidRDefault="0026506E" w:rsidP="00076F58">
      <w:pPr>
        <w:spacing w:after="0" w:line="240" w:lineRule="auto"/>
      </w:pPr>
      <w:r w:rsidRPr="006B5F12">
        <w:t>Atul Deodhar,</w:t>
      </w:r>
      <w:r w:rsidR="009F0557" w:rsidRPr="006B5F12">
        <w:rPr>
          <w:vertAlign w:val="superscript"/>
        </w:rPr>
        <w:t>1</w:t>
      </w:r>
      <w:r w:rsidRPr="006B5F12">
        <w:t xml:space="preserve"> Lianne S. Gensler,</w:t>
      </w:r>
      <w:r w:rsidR="009F0557" w:rsidRPr="006B5F12">
        <w:rPr>
          <w:vertAlign w:val="superscript"/>
        </w:rPr>
        <w:t>2</w:t>
      </w:r>
      <w:r w:rsidRPr="006B5F12">
        <w:t xml:space="preserve"> </w:t>
      </w:r>
      <w:r w:rsidR="00EE2141" w:rsidRPr="006B5F12">
        <w:t>Stephen Hall,</w:t>
      </w:r>
      <w:r w:rsidR="009F0557" w:rsidRPr="006B5F12">
        <w:rPr>
          <w:vertAlign w:val="superscript"/>
        </w:rPr>
        <w:t>3</w:t>
      </w:r>
      <w:r w:rsidR="00EE2141" w:rsidRPr="006B5F12">
        <w:t xml:space="preserve"> Philip</w:t>
      </w:r>
      <w:r w:rsidR="00C65503" w:rsidRPr="006B5F12">
        <w:t xml:space="preserve"> C.</w:t>
      </w:r>
      <w:r w:rsidR="00EE2141" w:rsidRPr="006B5F12">
        <w:t xml:space="preserve"> Robinson,</w:t>
      </w:r>
      <w:r w:rsidR="009F0557" w:rsidRPr="006B5F12">
        <w:rPr>
          <w:vertAlign w:val="superscript"/>
        </w:rPr>
        <w:t>4</w:t>
      </w:r>
      <w:r w:rsidR="00EE2141" w:rsidRPr="006B5F12">
        <w:t xml:space="preserve"> </w:t>
      </w:r>
      <w:r w:rsidR="003A00A7" w:rsidRPr="006B5F12">
        <w:t>Bengt Hoepken,</w:t>
      </w:r>
      <w:r w:rsidR="009F0557" w:rsidRPr="006B5F12">
        <w:rPr>
          <w:vertAlign w:val="superscript"/>
        </w:rPr>
        <w:t>5</w:t>
      </w:r>
      <w:r w:rsidR="003A00A7" w:rsidRPr="006B5F12">
        <w:t xml:space="preserve"> Lars </w:t>
      </w:r>
      <w:r w:rsidR="00B54F49" w:rsidRPr="006B5F12">
        <w:t>Bauer,</w:t>
      </w:r>
      <w:r w:rsidR="009F0557" w:rsidRPr="006B5F12">
        <w:rPr>
          <w:vertAlign w:val="superscript"/>
        </w:rPr>
        <w:t>5</w:t>
      </w:r>
      <w:r w:rsidR="00B54F49" w:rsidRPr="006B5F12">
        <w:t xml:space="preserve"> Thomas</w:t>
      </w:r>
      <w:r w:rsidR="003A00A7" w:rsidRPr="006B5F12">
        <w:t xml:space="preserve"> Kumke</w:t>
      </w:r>
      <w:r w:rsidRPr="006B5F12">
        <w:t>,</w:t>
      </w:r>
      <w:r w:rsidR="009F0557" w:rsidRPr="006B5F12">
        <w:rPr>
          <w:vertAlign w:val="superscript"/>
        </w:rPr>
        <w:t>5</w:t>
      </w:r>
      <w:r w:rsidRPr="006B5F12">
        <w:t xml:space="preserve"> Walter P. Maksymowych</w:t>
      </w:r>
      <w:r w:rsidR="009F0557" w:rsidRPr="006B5F12">
        <w:rPr>
          <w:vertAlign w:val="superscript"/>
        </w:rPr>
        <w:t>6</w:t>
      </w:r>
    </w:p>
    <w:p w14:paraId="67CD9E44" w14:textId="40AAB720" w:rsidR="00EB05F4" w:rsidRPr="003A0342" w:rsidRDefault="00EB05F4" w:rsidP="00076F58">
      <w:pPr>
        <w:pStyle w:val="NoSpacing"/>
        <w:rPr>
          <w:i/>
          <w:iCs/>
        </w:rPr>
      </w:pPr>
      <w:r w:rsidRPr="003A0342">
        <w:rPr>
          <w:i/>
          <w:iCs/>
          <w:vertAlign w:val="superscript"/>
        </w:rPr>
        <w:t>1</w:t>
      </w:r>
      <w:r w:rsidR="0026506E" w:rsidRPr="003A0342">
        <w:rPr>
          <w:i/>
          <w:iCs/>
        </w:rPr>
        <w:t>Oregon Health &amp; Science University, Portland, OR, USA</w:t>
      </w:r>
      <w:r w:rsidRPr="003A0342">
        <w:rPr>
          <w:i/>
          <w:iCs/>
        </w:rPr>
        <w:t xml:space="preserve">; </w:t>
      </w:r>
      <w:r w:rsidRPr="003A0342">
        <w:rPr>
          <w:i/>
          <w:iCs/>
          <w:vertAlign w:val="superscript"/>
        </w:rPr>
        <w:t>2</w:t>
      </w:r>
      <w:r w:rsidR="0026506E" w:rsidRPr="003A0342">
        <w:rPr>
          <w:i/>
          <w:iCs/>
        </w:rPr>
        <w:t>University of California San Francisco, San Francisco, CA, USA</w:t>
      </w:r>
      <w:r w:rsidRPr="003A0342">
        <w:rPr>
          <w:i/>
          <w:iCs/>
        </w:rPr>
        <w:t xml:space="preserve">; </w:t>
      </w:r>
      <w:r w:rsidRPr="003A0342">
        <w:rPr>
          <w:i/>
          <w:iCs/>
          <w:vertAlign w:val="superscript"/>
        </w:rPr>
        <w:t>3</w:t>
      </w:r>
      <w:r w:rsidR="00AB36FA" w:rsidRPr="003A0342">
        <w:rPr>
          <w:i/>
          <w:iCs/>
        </w:rPr>
        <w:t>Cabrini Medical Centre, Monash University and Emeritus Research, Melbourne, Victoria, Australia</w:t>
      </w:r>
      <w:r w:rsidRPr="003A0342">
        <w:rPr>
          <w:i/>
          <w:iCs/>
        </w:rPr>
        <w:t xml:space="preserve">; </w:t>
      </w:r>
      <w:r w:rsidRPr="003A0342">
        <w:rPr>
          <w:i/>
          <w:iCs/>
          <w:vertAlign w:val="superscript"/>
        </w:rPr>
        <w:t>4</w:t>
      </w:r>
      <w:r w:rsidR="00AB36FA" w:rsidRPr="003A0342">
        <w:rPr>
          <w:i/>
          <w:iCs/>
        </w:rPr>
        <w:t>University of Queensland School of Clinical Medicine, Brisbane, Queensland, Australia</w:t>
      </w:r>
      <w:r w:rsidRPr="003A0342">
        <w:rPr>
          <w:i/>
          <w:iCs/>
        </w:rPr>
        <w:t xml:space="preserve">; </w:t>
      </w:r>
      <w:r w:rsidRPr="003A0342">
        <w:rPr>
          <w:i/>
          <w:iCs/>
          <w:vertAlign w:val="superscript"/>
          <w:lang w:val="de-DE"/>
        </w:rPr>
        <w:t>5</w:t>
      </w:r>
      <w:r w:rsidR="0026506E" w:rsidRPr="003A0342">
        <w:rPr>
          <w:i/>
          <w:iCs/>
          <w:lang w:val="de-DE"/>
        </w:rPr>
        <w:t>UCB Pharma, Monheim am Rhein, Germany</w:t>
      </w:r>
      <w:r w:rsidRPr="003A0342">
        <w:rPr>
          <w:i/>
          <w:iCs/>
        </w:rPr>
        <w:t xml:space="preserve">; </w:t>
      </w:r>
      <w:r w:rsidRPr="003A0342">
        <w:rPr>
          <w:i/>
          <w:iCs/>
          <w:vertAlign w:val="superscript"/>
        </w:rPr>
        <w:t>6</w:t>
      </w:r>
      <w:r w:rsidR="00AB36FA" w:rsidRPr="003A0342">
        <w:rPr>
          <w:i/>
          <w:iCs/>
        </w:rPr>
        <w:t>University of Alberta, Edmonton, Canada</w:t>
      </w:r>
    </w:p>
    <w:p w14:paraId="6111E7D7" w14:textId="052F8E25" w:rsidR="00562A05" w:rsidRPr="00076F58" w:rsidRDefault="002B28F0" w:rsidP="00076F58">
      <w:pPr>
        <w:spacing w:after="0" w:line="240" w:lineRule="auto"/>
        <w:rPr>
          <w:sz w:val="20"/>
          <w:szCs w:val="20"/>
        </w:rPr>
      </w:pPr>
      <w:r w:rsidRPr="00076F58">
        <w:rPr>
          <w:b/>
          <w:bCs/>
          <w:sz w:val="20"/>
          <w:szCs w:val="20"/>
        </w:rPr>
        <w:t>Background</w:t>
      </w:r>
      <w:r w:rsidR="007935B4" w:rsidRPr="00076F58">
        <w:rPr>
          <w:b/>
          <w:bCs/>
          <w:sz w:val="20"/>
          <w:szCs w:val="20"/>
        </w:rPr>
        <w:t>:</w:t>
      </w:r>
      <w:r w:rsidR="0085287D" w:rsidRPr="00076F58" w:rsidDel="0085287D">
        <w:rPr>
          <w:sz w:val="20"/>
          <w:szCs w:val="20"/>
        </w:rPr>
        <w:t xml:space="preserve"> </w:t>
      </w:r>
      <w:r w:rsidR="0026506E" w:rsidRPr="00076F58">
        <w:rPr>
          <w:sz w:val="20"/>
          <w:szCs w:val="20"/>
        </w:rPr>
        <w:t>This post-hoc analysis from the phase 3 C-</w:t>
      </w:r>
      <w:proofErr w:type="spellStart"/>
      <w:r w:rsidR="0026506E" w:rsidRPr="00076F58">
        <w:rPr>
          <w:sz w:val="20"/>
          <w:szCs w:val="20"/>
        </w:rPr>
        <w:t>axSpAnd</w:t>
      </w:r>
      <w:proofErr w:type="spellEnd"/>
      <w:r w:rsidR="0026506E" w:rsidRPr="00076F58">
        <w:rPr>
          <w:sz w:val="20"/>
          <w:szCs w:val="20"/>
        </w:rPr>
        <w:t xml:space="preserve"> study aimed to evaluate whether the response to certolizumab pegol (CZP) in non-radiographic axial spondyloarthritis (nr-axSpA) is impacted by patients’ baseline MRI and C-reactive protein (CRP) status.</w:t>
      </w:r>
    </w:p>
    <w:p w14:paraId="131B8899" w14:textId="2FB75FA6" w:rsidR="00076F58" w:rsidRPr="00076F58" w:rsidRDefault="00562A05" w:rsidP="00076F58">
      <w:pPr>
        <w:spacing w:after="0" w:line="240" w:lineRule="auto"/>
        <w:rPr>
          <w:b/>
          <w:bCs/>
          <w:sz w:val="20"/>
          <w:szCs w:val="20"/>
        </w:rPr>
      </w:pPr>
      <w:r w:rsidRPr="00902DF2">
        <w:rPr>
          <w:b/>
          <w:bCs/>
          <w:sz w:val="20"/>
          <w:szCs w:val="20"/>
        </w:rPr>
        <w:t>Method</w:t>
      </w:r>
      <w:r w:rsidR="008A5E01" w:rsidRPr="00902DF2">
        <w:rPr>
          <w:b/>
          <w:bCs/>
          <w:sz w:val="20"/>
          <w:szCs w:val="20"/>
        </w:rPr>
        <w:t>s</w:t>
      </w:r>
      <w:r w:rsidRPr="00902DF2">
        <w:rPr>
          <w:b/>
          <w:bCs/>
          <w:sz w:val="20"/>
          <w:szCs w:val="20"/>
        </w:rPr>
        <w:t>:</w:t>
      </w:r>
      <w:r w:rsidR="00F36E19" w:rsidRPr="00076F58">
        <w:rPr>
          <w:sz w:val="20"/>
          <w:szCs w:val="20"/>
        </w:rPr>
        <w:t xml:space="preserve"> </w:t>
      </w:r>
      <w:r w:rsidR="003841B1" w:rsidRPr="00076F58">
        <w:rPr>
          <w:sz w:val="20"/>
          <w:szCs w:val="20"/>
        </w:rPr>
        <w:t>C-</w:t>
      </w:r>
      <w:proofErr w:type="spellStart"/>
      <w:r w:rsidR="003841B1" w:rsidRPr="00076F58">
        <w:rPr>
          <w:sz w:val="20"/>
          <w:szCs w:val="20"/>
        </w:rPr>
        <w:t>axSpAnd</w:t>
      </w:r>
      <w:proofErr w:type="spellEnd"/>
      <w:r w:rsidR="003841B1" w:rsidRPr="00076F58">
        <w:rPr>
          <w:sz w:val="20"/>
          <w:szCs w:val="20"/>
        </w:rPr>
        <w:t xml:space="preserve"> (NCT02552212) </w:t>
      </w:r>
      <w:r w:rsidR="005B2893">
        <w:rPr>
          <w:sz w:val="20"/>
          <w:szCs w:val="20"/>
        </w:rPr>
        <w:t>was</w:t>
      </w:r>
      <w:r w:rsidR="003841B1" w:rsidRPr="00076F58">
        <w:rPr>
          <w:sz w:val="20"/>
          <w:szCs w:val="20"/>
        </w:rPr>
        <w:t xml:space="preserve"> a 3-year, phase 3, </w:t>
      </w:r>
      <w:proofErr w:type="spellStart"/>
      <w:r w:rsidR="003841B1" w:rsidRPr="00076F58">
        <w:rPr>
          <w:sz w:val="20"/>
          <w:szCs w:val="20"/>
        </w:rPr>
        <w:t>multicenter</w:t>
      </w:r>
      <w:proofErr w:type="spellEnd"/>
      <w:r w:rsidR="003841B1" w:rsidRPr="00076F58">
        <w:rPr>
          <w:sz w:val="20"/>
          <w:szCs w:val="20"/>
        </w:rPr>
        <w:t xml:space="preserve"> study including a </w:t>
      </w:r>
      <w:r w:rsidR="000C219B" w:rsidRPr="00076F58">
        <w:rPr>
          <w:sz w:val="20"/>
          <w:szCs w:val="20"/>
        </w:rPr>
        <w:t xml:space="preserve">completed </w:t>
      </w:r>
      <w:r w:rsidR="003841B1" w:rsidRPr="00076F58">
        <w:rPr>
          <w:sz w:val="20"/>
          <w:szCs w:val="20"/>
        </w:rPr>
        <w:t>52‑week double-blind, placebo-controlled period.</w:t>
      </w:r>
      <w:r w:rsidR="003841B1" w:rsidRPr="00902DF2">
        <w:rPr>
          <w:sz w:val="20"/>
          <w:szCs w:val="20"/>
          <w:vertAlign w:val="superscript"/>
        </w:rPr>
        <w:t>1</w:t>
      </w:r>
      <w:r w:rsidR="003841B1" w:rsidRPr="00076F58">
        <w:rPr>
          <w:sz w:val="20"/>
          <w:szCs w:val="20"/>
        </w:rPr>
        <w:t xml:space="preserve"> </w:t>
      </w:r>
      <w:r w:rsidR="000C13B2" w:rsidRPr="00076F58">
        <w:rPr>
          <w:sz w:val="20"/>
          <w:szCs w:val="20"/>
        </w:rPr>
        <w:t>Patients were adults with a diagnosis of axSpA</w:t>
      </w:r>
      <w:r w:rsidR="00164448" w:rsidRPr="00076F58">
        <w:rPr>
          <w:sz w:val="20"/>
          <w:szCs w:val="20"/>
        </w:rPr>
        <w:t>,</w:t>
      </w:r>
      <w:r w:rsidR="000C13B2" w:rsidRPr="00076F58">
        <w:rPr>
          <w:sz w:val="20"/>
          <w:szCs w:val="20"/>
        </w:rPr>
        <w:t xml:space="preserve"> meeting </w:t>
      </w:r>
      <w:r w:rsidR="00704AC6" w:rsidRPr="00076F58">
        <w:rPr>
          <w:sz w:val="20"/>
          <w:szCs w:val="20"/>
        </w:rPr>
        <w:t xml:space="preserve">Assessment of </w:t>
      </w:r>
      <w:proofErr w:type="spellStart"/>
      <w:r w:rsidR="00704AC6" w:rsidRPr="00076F58">
        <w:rPr>
          <w:sz w:val="20"/>
          <w:szCs w:val="20"/>
        </w:rPr>
        <w:t>SpondyloArthritis</w:t>
      </w:r>
      <w:proofErr w:type="spellEnd"/>
      <w:r w:rsidR="00704AC6" w:rsidRPr="00076F58">
        <w:rPr>
          <w:sz w:val="20"/>
          <w:szCs w:val="20"/>
        </w:rPr>
        <w:t xml:space="preserve"> international Society (ASAS), </w:t>
      </w:r>
      <w:r w:rsidR="000C13B2" w:rsidRPr="00076F58">
        <w:rPr>
          <w:sz w:val="20"/>
          <w:szCs w:val="20"/>
        </w:rPr>
        <w:t>but not modified New York</w:t>
      </w:r>
      <w:r w:rsidR="00704AC6" w:rsidRPr="00076F58">
        <w:rPr>
          <w:sz w:val="20"/>
          <w:szCs w:val="20"/>
        </w:rPr>
        <w:t>,</w:t>
      </w:r>
      <w:r w:rsidR="000C13B2" w:rsidRPr="00076F58">
        <w:rPr>
          <w:sz w:val="20"/>
          <w:szCs w:val="20"/>
        </w:rPr>
        <w:t xml:space="preserve"> classification criteria, </w:t>
      </w:r>
      <w:r w:rsidR="0026506E" w:rsidRPr="00076F58">
        <w:rPr>
          <w:sz w:val="20"/>
          <w:szCs w:val="20"/>
        </w:rPr>
        <w:t>active disease (</w:t>
      </w:r>
      <w:r w:rsidR="00704AC6" w:rsidRPr="00076F58">
        <w:rPr>
          <w:sz w:val="20"/>
          <w:szCs w:val="20"/>
        </w:rPr>
        <w:t>Bath Ankylosing Spondylitis Disease Activity Index [</w:t>
      </w:r>
      <w:r w:rsidR="0026506E" w:rsidRPr="00076F58">
        <w:rPr>
          <w:sz w:val="20"/>
          <w:szCs w:val="20"/>
        </w:rPr>
        <w:t>BASDAI</w:t>
      </w:r>
      <w:r w:rsidR="00704AC6" w:rsidRPr="00076F58">
        <w:rPr>
          <w:sz w:val="20"/>
          <w:szCs w:val="20"/>
        </w:rPr>
        <w:t>]</w:t>
      </w:r>
      <w:r w:rsidR="0026506E" w:rsidRPr="00076F58">
        <w:rPr>
          <w:sz w:val="20"/>
          <w:szCs w:val="20"/>
        </w:rPr>
        <w:t xml:space="preserve"> </w:t>
      </w:r>
      <w:r w:rsidR="00902DF2" w:rsidRPr="00AB1F5F">
        <w:rPr>
          <w:sz w:val="20"/>
          <w:szCs w:val="20"/>
        </w:rPr>
        <w:t>≥</w:t>
      </w:r>
      <w:r w:rsidR="0026506E" w:rsidRPr="00076F58">
        <w:rPr>
          <w:sz w:val="20"/>
          <w:szCs w:val="20"/>
        </w:rPr>
        <w:t xml:space="preserve">4, spinal pain </w:t>
      </w:r>
      <w:r w:rsidR="00902DF2" w:rsidRPr="00AB1F5F">
        <w:rPr>
          <w:sz w:val="20"/>
          <w:szCs w:val="20"/>
        </w:rPr>
        <w:t>≥</w:t>
      </w:r>
      <w:r w:rsidR="0026506E" w:rsidRPr="00076F58">
        <w:rPr>
          <w:sz w:val="20"/>
          <w:szCs w:val="20"/>
        </w:rPr>
        <w:t xml:space="preserve">4), </w:t>
      </w:r>
      <w:r w:rsidR="000C13B2" w:rsidRPr="00076F58">
        <w:rPr>
          <w:sz w:val="20"/>
          <w:szCs w:val="20"/>
        </w:rPr>
        <w:t xml:space="preserve">objective signs of inflammation (CRP </w:t>
      </w:r>
      <w:r w:rsidR="006F3AA3" w:rsidRPr="00076F58">
        <w:rPr>
          <w:sz w:val="20"/>
          <w:szCs w:val="20"/>
        </w:rPr>
        <w:t>≥</w:t>
      </w:r>
      <w:r w:rsidR="000C13B2" w:rsidRPr="00076F58">
        <w:rPr>
          <w:sz w:val="20"/>
          <w:szCs w:val="20"/>
        </w:rPr>
        <w:t xml:space="preserve">10 mg/L [CRP+] </w:t>
      </w:r>
      <w:r w:rsidR="00B54F49" w:rsidRPr="00076F58">
        <w:rPr>
          <w:sz w:val="20"/>
          <w:szCs w:val="20"/>
        </w:rPr>
        <w:t>and/</w:t>
      </w:r>
      <w:r w:rsidR="000C13B2" w:rsidRPr="00076F58">
        <w:rPr>
          <w:sz w:val="20"/>
          <w:szCs w:val="20"/>
        </w:rPr>
        <w:t xml:space="preserve">or evidence of sacroiliitis on MRI [MRI+]), who </w:t>
      </w:r>
      <w:r w:rsidR="00164448" w:rsidRPr="00076F58">
        <w:rPr>
          <w:sz w:val="20"/>
          <w:szCs w:val="20"/>
        </w:rPr>
        <w:t xml:space="preserve">had </w:t>
      </w:r>
      <w:r w:rsidR="000C13B2" w:rsidRPr="00076F58">
        <w:rPr>
          <w:sz w:val="20"/>
          <w:szCs w:val="20"/>
        </w:rPr>
        <w:t xml:space="preserve">failed ≥2 </w:t>
      </w:r>
      <w:r w:rsidR="00B54F49" w:rsidRPr="00076F58">
        <w:rPr>
          <w:sz w:val="20"/>
          <w:szCs w:val="20"/>
        </w:rPr>
        <w:t>non-steroidal anti-inflammatory drugs</w:t>
      </w:r>
      <w:r w:rsidR="00C06C74">
        <w:rPr>
          <w:sz w:val="20"/>
          <w:szCs w:val="20"/>
        </w:rPr>
        <w:t xml:space="preserve">. </w:t>
      </w:r>
      <w:r w:rsidR="00F44A6F" w:rsidRPr="00076F58">
        <w:rPr>
          <w:sz w:val="20"/>
          <w:szCs w:val="20"/>
        </w:rPr>
        <w:t>Patients</w:t>
      </w:r>
      <w:r w:rsidR="003841B1" w:rsidRPr="00076F58">
        <w:rPr>
          <w:sz w:val="20"/>
          <w:szCs w:val="20"/>
        </w:rPr>
        <w:t xml:space="preserve"> were randomized 1:1 to placebo or CZP (400 mg at Weeks 0</w:t>
      </w:r>
      <w:r w:rsidR="00BC244C" w:rsidRPr="00076F58">
        <w:rPr>
          <w:sz w:val="20"/>
          <w:szCs w:val="20"/>
        </w:rPr>
        <w:t xml:space="preserve">, </w:t>
      </w:r>
      <w:r w:rsidR="003841B1" w:rsidRPr="00076F58">
        <w:rPr>
          <w:sz w:val="20"/>
          <w:szCs w:val="20"/>
        </w:rPr>
        <w:t>2</w:t>
      </w:r>
      <w:r w:rsidR="00C06C74">
        <w:rPr>
          <w:sz w:val="20"/>
          <w:szCs w:val="20"/>
        </w:rPr>
        <w:t>,</w:t>
      </w:r>
      <w:r w:rsidR="00BF71C4" w:rsidRPr="00076F58">
        <w:rPr>
          <w:sz w:val="20"/>
          <w:szCs w:val="20"/>
        </w:rPr>
        <w:t xml:space="preserve"> and</w:t>
      </w:r>
      <w:r w:rsidR="00BC244C" w:rsidRPr="00076F58">
        <w:rPr>
          <w:sz w:val="20"/>
          <w:szCs w:val="20"/>
        </w:rPr>
        <w:t xml:space="preserve"> </w:t>
      </w:r>
      <w:r w:rsidR="003841B1" w:rsidRPr="00076F58">
        <w:rPr>
          <w:sz w:val="20"/>
          <w:szCs w:val="20"/>
        </w:rPr>
        <w:t xml:space="preserve">4, then 200 mg every 2 weeks), which they received </w:t>
      </w:r>
      <w:r w:rsidR="00BA0317" w:rsidRPr="00076F58">
        <w:rPr>
          <w:sz w:val="20"/>
          <w:szCs w:val="20"/>
        </w:rPr>
        <w:t>in addition to non</w:t>
      </w:r>
      <w:r w:rsidR="00BF71C4" w:rsidRPr="00076F58">
        <w:rPr>
          <w:sz w:val="20"/>
          <w:szCs w:val="20"/>
        </w:rPr>
        <w:t>-</w:t>
      </w:r>
      <w:r w:rsidR="00BA0317" w:rsidRPr="00076F58">
        <w:rPr>
          <w:sz w:val="20"/>
          <w:szCs w:val="20"/>
        </w:rPr>
        <w:t>biologic background medication</w:t>
      </w:r>
      <w:r w:rsidR="00613D7D" w:rsidRPr="00076F58">
        <w:rPr>
          <w:sz w:val="20"/>
          <w:szCs w:val="20"/>
        </w:rPr>
        <w:t xml:space="preserve"> </w:t>
      </w:r>
      <w:r w:rsidR="00DA7847" w:rsidRPr="00076F58">
        <w:rPr>
          <w:sz w:val="20"/>
          <w:szCs w:val="20"/>
        </w:rPr>
        <w:t xml:space="preserve">for 52 </w:t>
      </w:r>
      <w:r w:rsidR="003841B1" w:rsidRPr="00076F58">
        <w:rPr>
          <w:sz w:val="20"/>
          <w:szCs w:val="20"/>
        </w:rPr>
        <w:t>w</w:t>
      </w:r>
      <w:r w:rsidR="00DA7847" w:rsidRPr="00076F58">
        <w:rPr>
          <w:sz w:val="20"/>
          <w:szCs w:val="20"/>
        </w:rPr>
        <w:t>eeks</w:t>
      </w:r>
      <w:r w:rsidR="003841B1" w:rsidRPr="00076F58">
        <w:rPr>
          <w:sz w:val="20"/>
          <w:szCs w:val="20"/>
        </w:rPr>
        <w:t>.</w:t>
      </w:r>
      <w:r w:rsidR="00ED450B" w:rsidRPr="00076F58">
        <w:rPr>
          <w:sz w:val="20"/>
          <w:szCs w:val="20"/>
        </w:rPr>
        <w:t xml:space="preserve"> </w:t>
      </w:r>
      <w:r w:rsidR="003841B1" w:rsidRPr="00076F58">
        <w:rPr>
          <w:sz w:val="20"/>
          <w:szCs w:val="20"/>
        </w:rPr>
        <w:t xml:space="preserve">Adjustments to </w:t>
      </w:r>
      <w:r w:rsidR="00B54F49" w:rsidRPr="00076F58">
        <w:rPr>
          <w:sz w:val="20"/>
          <w:szCs w:val="20"/>
        </w:rPr>
        <w:t xml:space="preserve">background medication </w:t>
      </w:r>
      <w:r w:rsidR="00F04B3C" w:rsidRPr="00076F58">
        <w:rPr>
          <w:sz w:val="20"/>
          <w:szCs w:val="20"/>
        </w:rPr>
        <w:t>or switch</w:t>
      </w:r>
      <w:r w:rsidR="00CB3D26" w:rsidRPr="00076F58">
        <w:rPr>
          <w:sz w:val="20"/>
          <w:szCs w:val="20"/>
        </w:rPr>
        <w:t>ing</w:t>
      </w:r>
      <w:r w:rsidR="00F04B3C" w:rsidRPr="00076F58">
        <w:rPr>
          <w:sz w:val="20"/>
          <w:szCs w:val="20"/>
        </w:rPr>
        <w:t xml:space="preserve"> to open-label </w:t>
      </w:r>
      <w:r w:rsidR="00C33073" w:rsidRPr="00076F58">
        <w:rPr>
          <w:sz w:val="20"/>
          <w:szCs w:val="20"/>
        </w:rPr>
        <w:t xml:space="preserve">CZP </w:t>
      </w:r>
      <w:r w:rsidR="008B319C" w:rsidRPr="00076F58">
        <w:rPr>
          <w:sz w:val="20"/>
          <w:szCs w:val="20"/>
        </w:rPr>
        <w:t>(</w:t>
      </w:r>
      <w:r w:rsidR="00C33073" w:rsidRPr="00076F58">
        <w:rPr>
          <w:sz w:val="20"/>
          <w:szCs w:val="20"/>
        </w:rPr>
        <w:t>or other biologics</w:t>
      </w:r>
      <w:r w:rsidR="008B319C" w:rsidRPr="00076F58">
        <w:rPr>
          <w:sz w:val="20"/>
          <w:szCs w:val="20"/>
        </w:rPr>
        <w:t>)</w:t>
      </w:r>
      <w:r w:rsidR="00F04B3C" w:rsidRPr="00076F58">
        <w:rPr>
          <w:sz w:val="20"/>
          <w:szCs w:val="20"/>
        </w:rPr>
        <w:t xml:space="preserve"> at any point</w:t>
      </w:r>
      <w:r w:rsidR="008B319C" w:rsidRPr="00076F58">
        <w:rPr>
          <w:sz w:val="20"/>
          <w:szCs w:val="20"/>
        </w:rPr>
        <w:t xml:space="preserve"> </w:t>
      </w:r>
      <w:r w:rsidR="00CB3D26" w:rsidRPr="00076F58">
        <w:rPr>
          <w:sz w:val="20"/>
          <w:szCs w:val="20"/>
        </w:rPr>
        <w:t xml:space="preserve">was </w:t>
      </w:r>
      <w:r w:rsidR="003841B1" w:rsidRPr="00076F58">
        <w:rPr>
          <w:sz w:val="20"/>
          <w:szCs w:val="20"/>
        </w:rPr>
        <w:t>permitted</w:t>
      </w:r>
      <w:r w:rsidR="004E0FD3" w:rsidRPr="00076F58">
        <w:rPr>
          <w:sz w:val="20"/>
          <w:szCs w:val="20"/>
        </w:rPr>
        <w:t>.</w:t>
      </w:r>
      <w:r w:rsidR="008254D1" w:rsidRPr="00076F58">
        <w:rPr>
          <w:sz w:val="20"/>
          <w:szCs w:val="20"/>
        </w:rPr>
        <w:t xml:space="preserve"> </w:t>
      </w:r>
      <w:r w:rsidR="00217578" w:rsidRPr="00076F58">
        <w:rPr>
          <w:sz w:val="20"/>
          <w:szCs w:val="20"/>
        </w:rPr>
        <w:t xml:space="preserve">We report </w:t>
      </w:r>
      <w:r w:rsidR="00704AC6" w:rsidRPr="00076F58">
        <w:rPr>
          <w:sz w:val="20"/>
          <w:szCs w:val="20"/>
        </w:rPr>
        <w:t xml:space="preserve">Ankylosing Spondylitis Disease Activity Score – major improvement (ASDAS-MI) </w:t>
      </w:r>
      <w:r w:rsidR="00217578" w:rsidRPr="00076F58">
        <w:rPr>
          <w:sz w:val="20"/>
          <w:szCs w:val="20"/>
        </w:rPr>
        <w:t xml:space="preserve">and </w:t>
      </w:r>
      <w:r w:rsidR="00704AC6" w:rsidRPr="00076F58">
        <w:rPr>
          <w:sz w:val="20"/>
          <w:szCs w:val="20"/>
        </w:rPr>
        <w:t>ASAS 40% response (ASAS40)</w:t>
      </w:r>
      <w:r w:rsidR="00217578" w:rsidRPr="00076F58">
        <w:rPr>
          <w:sz w:val="20"/>
          <w:szCs w:val="20"/>
        </w:rPr>
        <w:t xml:space="preserve"> for </w:t>
      </w:r>
      <w:r w:rsidR="00C71855" w:rsidRPr="00076F58">
        <w:rPr>
          <w:sz w:val="20"/>
          <w:szCs w:val="20"/>
        </w:rPr>
        <w:t xml:space="preserve">CZP-randomized </w:t>
      </w:r>
      <w:r w:rsidR="00217578" w:rsidRPr="00076F58">
        <w:rPr>
          <w:sz w:val="20"/>
          <w:szCs w:val="20"/>
        </w:rPr>
        <w:t xml:space="preserve">patients according to </w:t>
      </w:r>
      <w:r w:rsidR="00F44A6F" w:rsidRPr="00076F58">
        <w:rPr>
          <w:sz w:val="20"/>
          <w:szCs w:val="20"/>
        </w:rPr>
        <w:t>prespecified subgroups</w:t>
      </w:r>
      <w:r w:rsidR="00B54F49" w:rsidRPr="00076F58">
        <w:rPr>
          <w:sz w:val="20"/>
          <w:szCs w:val="20"/>
        </w:rPr>
        <w:t xml:space="preserve"> based on MRI/CRP status</w:t>
      </w:r>
      <w:r w:rsidR="00F44A6F" w:rsidRPr="00076F58">
        <w:rPr>
          <w:sz w:val="20"/>
          <w:szCs w:val="20"/>
        </w:rPr>
        <w:t xml:space="preserve"> (MRI+/CRP+, MRI</w:t>
      </w:r>
      <w:r w:rsidR="00B811D3" w:rsidRPr="00076F58">
        <w:rPr>
          <w:sz w:val="20"/>
          <w:szCs w:val="20"/>
        </w:rPr>
        <w:t>−</w:t>
      </w:r>
      <w:r w:rsidR="00F44A6F" w:rsidRPr="00076F58">
        <w:rPr>
          <w:sz w:val="20"/>
          <w:szCs w:val="20"/>
        </w:rPr>
        <w:t>/CRP+, MRI+/CRP</w:t>
      </w:r>
      <w:r w:rsidR="00B811D3" w:rsidRPr="00076F58">
        <w:rPr>
          <w:sz w:val="20"/>
          <w:szCs w:val="20"/>
        </w:rPr>
        <w:t>−</w:t>
      </w:r>
      <w:r w:rsidR="00F44A6F" w:rsidRPr="00076F58">
        <w:rPr>
          <w:sz w:val="20"/>
          <w:szCs w:val="20"/>
        </w:rPr>
        <w:t>)</w:t>
      </w:r>
      <w:r w:rsidR="00760DFF" w:rsidRPr="00076F58">
        <w:rPr>
          <w:sz w:val="20"/>
          <w:szCs w:val="20"/>
        </w:rPr>
        <w:t xml:space="preserve">. </w:t>
      </w:r>
      <w:r w:rsidR="006834E4" w:rsidRPr="00076F58">
        <w:rPr>
          <w:sz w:val="20"/>
          <w:szCs w:val="20"/>
        </w:rPr>
        <w:t xml:space="preserve">Comparisons between </w:t>
      </w:r>
      <w:r w:rsidR="003657A9" w:rsidRPr="00076F58">
        <w:rPr>
          <w:sz w:val="20"/>
          <w:szCs w:val="20"/>
        </w:rPr>
        <w:t>MRI/</w:t>
      </w:r>
      <w:r w:rsidR="006834E4" w:rsidRPr="00076F58">
        <w:rPr>
          <w:sz w:val="20"/>
          <w:szCs w:val="20"/>
        </w:rPr>
        <w:t xml:space="preserve">CRP subgroups </w:t>
      </w:r>
      <w:r w:rsidR="009B31BB">
        <w:rPr>
          <w:sz w:val="20"/>
          <w:szCs w:val="20"/>
        </w:rPr>
        <w:t>were</w:t>
      </w:r>
      <w:r w:rsidR="006834E4" w:rsidRPr="00076F58">
        <w:rPr>
          <w:sz w:val="20"/>
          <w:szCs w:val="20"/>
        </w:rPr>
        <w:t xml:space="preserve"> descriptive only</w:t>
      </w:r>
      <w:r w:rsidR="003657A9" w:rsidRPr="00076F58">
        <w:rPr>
          <w:sz w:val="20"/>
          <w:szCs w:val="20"/>
        </w:rPr>
        <w:t xml:space="preserve">; Week 12 </w:t>
      </w:r>
      <w:r w:rsidR="00701191" w:rsidRPr="00076F58">
        <w:rPr>
          <w:sz w:val="20"/>
          <w:szCs w:val="20"/>
        </w:rPr>
        <w:t xml:space="preserve">(ASAS40) </w:t>
      </w:r>
      <w:r w:rsidR="003657A9" w:rsidRPr="00076F58">
        <w:rPr>
          <w:sz w:val="20"/>
          <w:szCs w:val="20"/>
        </w:rPr>
        <w:t xml:space="preserve">and </w:t>
      </w:r>
      <w:r w:rsidR="00701191" w:rsidRPr="00076F58">
        <w:rPr>
          <w:sz w:val="20"/>
          <w:szCs w:val="20"/>
        </w:rPr>
        <w:t xml:space="preserve">Week </w:t>
      </w:r>
      <w:r w:rsidR="003657A9" w:rsidRPr="00076F58">
        <w:rPr>
          <w:sz w:val="20"/>
          <w:szCs w:val="20"/>
        </w:rPr>
        <w:t xml:space="preserve">52 </w:t>
      </w:r>
      <w:r w:rsidR="00701191" w:rsidRPr="00076F58">
        <w:rPr>
          <w:sz w:val="20"/>
          <w:szCs w:val="20"/>
        </w:rPr>
        <w:t xml:space="preserve">(ASDAS-MI) </w:t>
      </w:r>
      <w:r w:rsidR="003657A9" w:rsidRPr="00076F58">
        <w:rPr>
          <w:sz w:val="20"/>
          <w:szCs w:val="20"/>
        </w:rPr>
        <w:t>comparisons between CZP and placebo were pre-specified</w:t>
      </w:r>
      <w:r w:rsidR="006834E4" w:rsidRPr="00076F58">
        <w:rPr>
          <w:sz w:val="20"/>
          <w:szCs w:val="20"/>
        </w:rPr>
        <w:t xml:space="preserve">. </w:t>
      </w:r>
      <w:r w:rsidR="00BF71C4" w:rsidRPr="00076F58">
        <w:rPr>
          <w:sz w:val="20"/>
          <w:szCs w:val="20"/>
        </w:rPr>
        <w:t>Missing values, or values collected after switching to open-label</w:t>
      </w:r>
      <w:r w:rsidR="00217578" w:rsidRPr="00076F58">
        <w:rPr>
          <w:sz w:val="20"/>
          <w:szCs w:val="20"/>
        </w:rPr>
        <w:t xml:space="preserve"> treatment</w:t>
      </w:r>
      <w:r w:rsidR="00BF71C4" w:rsidRPr="00076F58">
        <w:rPr>
          <w:sz w:val="20"/>
          <w:szCs w:val="20"/>
        </w:rPr>
        <w:t xml:space="preserve">, were imputed using </w:t>
      </w:r>
      <w:r w:rsidR="00217578" w:rsidRPr="00076F58">
        <w:rPr>
          <w:sz w:val="20"/>
          <w:szCs w:val="20"/>
        </w:rPr>
        <w:t>non-responder imputation</w:t>
      </w:r>
      <w:r w:rsidR="00BF71C4" w:rsidRPr="00076F58">
        <w:rPr>
          <w:sz w:val="20"/>
          <w:szCs w:val="20"/>
        </w:rPr>
        <w:t>.</w:t>
      </w:r>
    </w:p>
    <w:p w14:paraId="278A34A3" w14:textId="2E2CC413" w:rsidR="007935B4" w:rsidRPr="00076F58" w:rsidRDefault="00562A05" w:rsidP="00076F58">
      <w:pPr>
        <w:spacing w:after="0" w:line="240" w:lineRule="auto"/>
        <w:rPr>
          <w:sz w:val="20"/>
          <w:szCs w:val="20"/>
        </w:rPr>
      </w:pPr>
      <w:r w:rsidRPr="00076F58">
        <w:rPr>
          <w:b/>
          <w:bCs/>
          <w:sz w:val="20"/>
          <w:szCs w:val="20"/>
        </w:rPr>
        <w:t>Results:</w:t>
      </w:r>
      <w:r w:rsidR="00F36E19" w:rsidRPr="00076F58">
        <w:rPr>
          <w:sz w:val="20"/>
          <w:szCs w:val="20"/>
        </w:rPr>
        <w:t xml:space="preserve"> </w:t>
      </w:r>
      <w:r w:rsidR="00B03723" w:rsidRPr="00076F58">
        <w:rPr>
          <w:sz w:val="20"/>
          <w:szCs w:val="20"/>
        </w:rPr>
        <w:t xml:space="preserve">At baseline, </w:t>
      </w:r>
      <w:r w:rsidR="000C219B" w:rsidRPr="00076F58">
        <w:rPr>
          <w:sz w:val="20"/>
          <w:szCs w:val="20"/>
        </w:rPr>
        <w:t xml:space="preserve">a total of 317 patients were randomized, </w:t>
      </w:r>
      <w:r w:rsidR="004D58BB" w:rsidRPr="00076F58">
        <w:rPr>
          <w:sz w:val="20"/>
          <w:szCs w:val="20"/>
        </w:rPr>
        <w:t xml:space="preserve">159 to </w:t>
      </w:r>
      <w:r w:rsidR="001E45D8" w:rsidRPr="00076F58">
        <w:rPr>
          <w:sz w:val="20"/>
          <w:szCs w:val="20"/>
        </w:rPr>
        <w:t>CZP</w:t>
      </w:r>
      <w:r w:rsidR="005F2925" w:rsidRPr="00076F58">
        <w:rPr>
          <w:sz w:val="20"/>
          <w:szCs w:val="20"/>
        </w:rPr>
        <w:t xml:space="preserve"> (</w:t>
      </w:r>
      <w:r w:rsidR="00760DFF" w:rsidRPr="00076F58">
        <w:rPr>
          <w:sz w:val="20"/>
          <w:szCs w:val="20"/>
        </w:rPr>
        <w:t>45</w:t>
      </w:r>
      <w:r w:rsidR="00B03723" w:rsidRPr="00076F58">
        <w:rPr>
          <w:sz w:val="20"/>
          <w:szCs w:val="20"/>
        </w:rPr>
        <w:t xml:space="preserve"> MRI+/CRP+, </w:t>
      </w:r>
      <w:r w:rsidR="00760DFF" w:rsidRPr="00076F58">
        <w:rPr>
          <w:sz w:val="20"/>
          <w:szCs w:val="20"/>
        </w:rPr>
        <w:t>40</w:t>
      </w:r>
      <w:r w:rsidR="00C06C74">
        <w:rPr>
          <w:sz w:val="20"/>
          <w:szCs w:val="20"/>
        </w:rPr>
        <w:t> </w:t>
      </w:r>
      <w:r w:rsidR="00B03723" w:rsidRPr="00076F58">
        <w:rPr>
          <w:sz w:val="20"/>
          <w:szCs w:val="20"/>
        </w:rPr>
        <w:t>MRI</w:t>
      </w:r>
      <w:r w:rsidR="007D7DC6" w:rsidRPr="00076F58">
        <w:rPr>
          <w:sz w:val="20"/>
          <w:szCs w:val="20"/>
        </w:rPr>
        <w:t>−</w:t>
      </w:r>
      <w:r w:rsidR="00B03723" w:rsidRPr="00076F58">
        <w:rPr>
          <w:sz w:val="20"/>
          <w:szCs w:val="20"/>
        </w:rPr>
        <w:t>/CRP</w:t>
      </w:r>
      <w:r w:rsidR="00760DFF" w:rsidRPr="00076F58">
        <w:rPr>
          <w:sz w:val="20"/>
          <w:szCs w:val="20"/>
        </w:rPr>
        <w:t>+</w:t>
      </w:r>
      <w:r w:rsidR="00C06C74">
        <w:rPr>
          <w:sz w:val="20"/>
          <w:szCs w:val="20"/>
        </w:rPr>
        <w:t>,</w:t>
      </w:r>
      <w:r w:rsidR="00B03723" w:rsidRPr="00076F58">
        <w:rPr>
          <w:sz w:val="20"/>
          <w:szCs w:val="20"/>
        </w:rPr>
        <w:t xml:space="preserve"> and </w:t>
      </w:r>
      <w:r w:rsidR="00760DFF" w:rsidRPr="00076F58">
        <w:rPr>
          <w:sz w:val="20"/>
          <w:szCs w:val="20"/>
        </w:rPr>
        <w:t xml:space="preserve">74 </w:t>
      </w:r>
      <w:r w:rsidR="00B03723" w:rsidRPr="00076F58">
        <w:rPr>
          <w:sz w:val="20"/>
          <w:szCs w:val="20"/>
        </w:rPr>
        <w:t>MRI</w:t>
      </w:r>
      <w:r w:rsidR="00760DFF" w:rsidRPr="00076F58">
        <w:rPr>
          <w:sz w:val="20"/>
          <w:szCs w:val="20"/>
        </w:rPr>
        <w:t>+</w:t>
      </w:r>
      <w:r w:rsidR="00B03723" w:rsidRPr="00076F58">
        <w:rPr>
          <w:sz w:val="20"/>
          <w:szCs w:val="20"/>
        </w:rPr>
        <w:t>/CRP</w:t>
      </w:r>
      <w:r w:rsidR="00B811D3" w:rsidRPr="00076F58">
        <w:rPr>
          <w:sz w:val="20"/>
          <w:szCs w:val="20"/>
        </w:rPr>
        <w:t>−</w:t>
      </w:r>
      <w:r w:rsidR="005F2925" w:rsidRPr="00076F58">
        <w:rPr>
          <w:sz w:val="20"/>
          <w:szCs w:val="20"/>
        </w:rPr>
        <w:t>) and 158 to placebo (</w:t>
      </w:r>
      <w:r w:rsidR="009F0557" w:rsidRPr="00076F58">
        <w:rPr>
          <w:sz w:val="20"/>
          <w:szCs w:val="20"/>
        </w:rPr>
        <w:t>42</w:t>
      </w:r>
      <w:r w:rsidR="005F2925" w:rsidRPr="00076F58">
        <w:rPr>
          <w:sz w:val="20"/>
          <w:szCs w:val="20"/>
        </w:rPr>
        <w:t xml:space="preserve"> MRI+/CRP+, </w:t>
      </w:r>
      <w:r w:rsidR="009F0557" w:rsidRPr="00076F58">
        <w:rPr>
          <w:sz w:val="20"/>
          <w:szCs w:val="20"/>
        </w:rPr>
        <w:t>40</w:t>
      </w:r>
      <w:r w:rsidR="005F2925" w:rsidRPr="00076F58">
        <w:rPr>
          <w:sz w:val="20"/>
          <w:szCs w:val="20"/>
        </w:rPr>
        <w:t xml:space="preserve"> MRI</w:t>
      </w:r>
      <w:r w:rsidR="00B811D3" w:rsidRPr="00076F58">
        <w:rPr>
          <w:sz w:val="20"/>
          <w:szCs w:val="20"/>
        </w:rPr>
        <w:t>−</w:t>
      </w:r>
      <w:r w:rsidR="005F2925" w:rsidRPr="00076F58">
        <w:rPr>
          <w:sz w:val="20"/>
          <w:szCs w:val="20"/>
        </w:rPr>
        <w:t>/CRP+</w:t>
      </w:r>
      <w:r w:rsidR="00C06C74">
        <w:rPr>
          <w:sz w:val="20"/>
          <w:szCs w:val="20"/>
        </w:rPr>
        <w:t>,</w:t>
      </w:r>
      <w:r w:rsidR="005F2925" w:rsidRPr="00076F58">
        <w:rPr>
          <w:sz w:val="20"/>
          <w:szCs w:val="20"/>
        </w:rPr>
        <w:t xml:space="preserve"> and </w:t>
      </w:r>
      <w:r w:rsidR="00006BC5" w:rsidRPr="00076F58">
        <w:rPr>
          <w:sz w:val="20"/>
          <w:szCs w:val="20"/>
        </w:rPr>
        <w:t xml:space="preserve">76 </w:t>
      </w:r>
      <w:r w:rsidR="005F2925" w:rsidRPr="00076F58">
        <w:rPr>
          <w:sz w:val="20"/>
          <w:szCs w:val="20"/>
        </w:rPr>
        <w:t>MRI+/CRP</w:t>
      </w:r>
      <w:r w:rsidR="00B811D3" w:rsidRPr="00076F58">
        <w:rPr>
          <w:sz w:val="20"/>
          <w:szCs w:val="20"/>
        </w:rPr>
        <w:t>−</w:t>
      </w:r>
      <w:r w:rsidR="005F2925" w:rsidRPr="00076F58">
        <w:rPr>
          <w:sz w:val="20"/>
          <w:szCs w:val="20"/>
        </w:rPr>
        <w:t>)</w:t>
      </w:r>
      <w:r w:rsidR="004D58BB" w:rsidRPr="00076F58">
        <w:rPr>
          <w:sz w:val="20"/>
          <w:szCs w:val="20"/>
        </w:rPr>
        <w:t>.</w:t>
      </w:r>
      <w:r w:rsidR="005069B7" w:rsidRPr="00076F58">
        <w:rPr>
          <w:sz w:val="20"/>
          <w:szCs w:val="20"/>
        </w:rPr>
        <w:t xml:space="preserve"> </w:t>
      </w:r>
      <w:r w:rsidR="003B5376" w:rsidRPr="00076F58">
        <w:rPr>
          <w:sz w:val="20"/>
          <w:szCs w:val="20"/>
        </w:rPr>
        <w:t>At Week 52, ASDAS-MI was achieved in</w:t>
      </w:r>
      <w:r w:rsidR="00E63CD6">
        <w:rPr>
          <w:sz w:val="20"/>
          <w:szCs w:val="20"/>
        </w:rPr>
        <w:t xml:space="preserve"> </w:t>
      </w:r>
      <w:r w:rsidR="00E63CD6" w:rsidRPr="002C022E">
        <w:rPr>
          <w:sz w:val="20"/>
          <w:szCs w:val="20"/>
        </w:rPr>
        <w:t>75</w:t>
      </w:r>
      <w:r w:rsidR="003B5376" w:rsidRPr="00076F58">
        <w:rPr>
          <w:sz w:val="20"/>
          <w:szCs w:val="20"/>
        </w:rPr>
        <w:t xml:space="preserve"> </w:t>
      </w:r>
      <w:r w:rsidR="00E63CD6">
        <w:rPr>
          <w:sz w:val="20"/>
          <w:szCs w:val="20"/>
        </w:rPr>
        <w:t>(</w:t>
      </w:r>
      <w:r w:rsidR="003B5376" w:rsidRPr="00076F58">
        <w:rPr>
          <w:sz w:val="20"/>
          <w:szCs w:val="20"/>
        </w:rPr>
        <w:t>47.2%</w:t>
      </w:r>
      <w:r w:rsidR="00E63CD6">
        <w:rPr>
          <w:sz w:val="20"/>
          <w:szCs w:val="20"/>
        </w:rPr>
        <w:t>)</w:t>
      </w:r>
      <w:r w:rsidR="003B5376" w:rsidRPr="00076F58">
        <w:rPr>
          <w:sz w:val="20"/>
          <w:szCs w:val="20"/>
        </w:rPr>
        <w:t xml:space="preserve"> and</w:t>
      </w:r>
      <w:r w:rsidR="00E63CD6">
        <w:rPr>
          <w:sz w:val="20"/>
          <w:szCs w:val="20"/>
        </w:rPr>
        <w:t xml:space="preserve"> </w:t>
      </w:r>
      <w:r w:rsidR="00E63CD6" w:rsidRPr="002C022E">
        <w:rPr>
          <w:sz w:val="20"/>
          <w:szCs w:val="20"/>
        </w:rPr>
        <w:t>11</w:t>
      </w:r>
      <w:r w:rsidR="003B5376" w:rsidRPr="00076F58">
        <w:rPr>
          <w:sz w:val="20"/>
          <w:szCs w:val="20"/>
        </w:rPr>
        <w:t xml:space="preserve"> </w:t>
      </w:r>
      <w:r w:rsidR="00E63CD6">
        <w:rPr>
          <w:sz w:val="20"/>
          <w:szCs w:val="20"/>
        </w:rPr>
        <w:t>(</w:t>
      </w:r>
      <w:r w:rsidR="003B5376" w:rsidRPr="00076F58">
        <w:rPr>
          <w:sz w:val="20"/>
          <w:szCs w:val="20"/>
        </w:rPr>
        <w:t>7.0%</w:t>
      </w:r>
      <w:r w:rsidR="00E63CD6">
        <w:rPr>
          <w:sz w:val="20"/>
          <w:szCs w:val="20"/>
        </w:rPr>
        <w:t>)</w:t>
      </w:r>
      <w:r w:rsidR="003B5376" w:rsidRPr="00076F58">
        <w:rPr>
          <w:sz w:val="20"/>
          <w:szCs w:val="20"/>
        </w:rPr>
        <w:t xml:space="preserve"> CZP</w:t>
      </w:r>
      <w:r w:rsidR="002E3E84">
        <w:rPr>
          <w:sz w:val="20"/>
          <w:szCs w:val="20"/>
        </w:rPr>
        <w:t>-</w:t>
      </w:r>
      <w:r w:rsidR="003B5376" w:rsidRPr="00076F58">
        <w:rPr>
          <w:sz w:val="20"/>
          <w:szCs w:val="20"/>
        </w:rPr>
        <w:t xml:space="preserve"> and placebo-treated patients, respectively, and ASAS40 in</w:t>
      </w:r>
      <w:r w:rsidR="00E63CD6">
        <w:rPr>
          <w:sz w:val="20"/>
          <w:szCs w:val="20"/>
        </w:rPr>
        <w:t xml:space="preserve"> </w:t>
      </w:r>
      <w:r w:rsidR="00E63CD6" w:rsidRPr="002C022E">
        <w:rPr>
          <w:sz w:val="20"/>
          <w:szCs w:val="20"/>
        </w:rPr>
        <w:t>90</w:t>
      </w:r>
      <w:r w:rsidR="003B5376" w:rsidRPr="00076F58">
        <w:rPr>
          <w:sz w:val="20"/>
          <w:szCs w:val="20"/>
        </w:rPr>
        <w:t xml:space="preserve"> </w:t>
      </w:r>
      <w:r w:rsidR="00E63CD6">
        <w:rPr>
          <w:sz w:val="20"/>
          <w:szCs w:val="20"/>
        </w:rPr>
        <w:t>(</w:t>
      </w:r>
      <w:r w:rsidR="003B5376" w:rsidRPr="00076F58">
        <w:rPr>
          <w:sz w:val="20"/>
          <w:szCs w:val="20"/>
        </w:rPr>
        <w:t>56.6%</w:t>
      </w:r>
      <w:r w:rsidR="00E63CD6">
        <w:rPr>
          <w:sz w:val="20"/>
          <w:szCs w:val="20"/>
        </w:rPr>
        <w:t>)</w:t>
      </w:r>
      <w:r w:rsidR="003B5376" w:rsidRPr="00076F58">
        <w:rPr>
          <w:sz w:val="20"/>
          <w:szCs w:val="20"/>
        </w:rPr>
        <w:t xml:space="preserve"> and </w:t>
      </w:r>
      <w:r w:rsidR="00E63CD6" w:rsidRPr="002C022E">
        <w:rPr>
          <w:sz w:val="20"/>
          <w:szCs w:val="20"/>
        </w:rPr>
        <w:t>25</w:t>
      </w:r>
      <w:r w:rsidR="00E63CD6">
        <w:rPr>
          <w:sz w:val="20"/>
          <w:szCs w:val="20"/>
        </w:rPr>
        <w:t xml:space="preserve"> (</w:t>
      </w:r>
      <w:r w:rsidR="003B5376" w:rsidRPr="00076F58">
        <w:rPr>
          <w:sz w:val="20"/>
          <w:szCs w:val="20"/>
        </w:rPr>
        <w:t>1</w:t>
      </w:r>
      <w:r w:rsidR="00006BC5" w:rsidRPr="00076F58">
        <w:rPr>
          <w:sz w:val="20"/>
          <w:szCs w:val="20"/>
        </w:rPr>
        <w:t>5</w:t>
      </w:r>
      <w:r w:rsidR="003B5376" w:rsidRPr="00076F58">
        <w:rPr>
          <w:sz w:val="20"/>
          <w:szCs w:val="20"/>
        </w:rPr>
        <w:t>.8%</w:t>
      </w:r>
      <w:r w:rsidR="00E63CD6">
        <w:rPr>
          <w:sz w:val="20"/>
          <w:szCs w:val="20"/>
        </w:rPr>
        <w:t>)</w:t>
      </w:r>
      <w:r w:rsidR="00C06C74">
        <w:rPr>
          <w:sz w:val="20"/>
          <w:szCs w:val="20"/>
        </w:rPr>
        <w:t xml:space="preserve">, </w:t>
      </w:r>
      <w:r w:rsidR="00C06C74" w:rsidRPr="00E63CD6">
        <w:rPr>
          <w:sz w:val="20"/>
          <w:szCs w:val="20"/>
        </w:rPr>
        <w:t>respectively</w:t>
      </w:r>
      <w:r w:rsidR="003B5376" w:rsidRPr="00076F58">
        <w:rPr>
          <w:sz w:val="20"/>
          <w:szCs w:val="20"/>
        </w:rPr>
        <w:t xml:space="preserve">. </w:t>
      </w:r>
      <w:r w:rsidR="00CD3294" w:rsidRPr="00076F58">
        <w:rPr>
          <w:sz w:val="20"/>
          <w:szCs w:val="20"/>
        </w:rPr>
        <w:t xml:space="preserve">When stratified by MRI/CRP status, response rates in all three subgroups for </w:t>
      </w:r>
      <w:r w:rsidR="005F2925" w:rsidRPr="00076F58">
        <w:rPr>
          <w:sz w:val="20"/>
          <w:szCs w:val="20"/>
        </w:rPr>
        <w:t xml:space="preserve">CZP-treated patients were </w:t>
      </w:r>
      <w:r w:rsidR="00CD3294" w:rsidRPr="00076F58">
        <w:rPr>
          <w:sz w:val="20"/>
          <w:szCs w:val="20"/>
        </w:rPr>
        <w:t xml:space="preserve">also higher </w:t>
      </w:r>
      <w:r w:rsidR="0016312F" w:rsidRPr="00076F58">
        <w:rPr>
          <w:sz w:val="20"/>
          <w:szCs w:val="20"/>
        </w:rPr>
        <w:t xml:space="preserve">compared to </w:t>
      </w:r>
      <w:r w:rsidR="00CD3294" w:rsidRPr="00076F58">
        <w:rPr>
          <w:sz w:val="20"/>
          <w:szCs w:val="20"/>
        </w:rPr>
        <w:t xml:space="preserve">placebo for both </w:t>
      </w:r>
      <w:r w:rsidR="00E15E11" w:rsidRPr="00076F58">
        <w:rPr>
          <w:sz w:val="20"/>
          <w:szCs w:val="20"/>
        </w:rPr>
        <w:t>ASDAS-MI and ASAS40</w:t>
      </w:r>
      <w:r w:rsidR="005053A7" w:rsidRPr="00076F58">
        <w:rPr>
          <w:sz w:val="20"/>
          <w:szCs w:val="20"/>
        </w:rPr>
        <w:t xml:space="preserve"> </w:t>
      </w:r>
      <w:r w:rsidR="008E5121" w:rsidRPr="00076F58">
        <w:rPr>
          <w:sz w:val="20"/>
          <w:szCs w:val="20"/>
        </w:rPr>
        <w:t>at Week 12</w:t>
      </w:r>
      <w:r w:rsidR="00CE4117" w:rsidRPr="00076F58">
        <w:rPr>
          <w:sz w:val="20"/>
          <w:szCs w:val="20"/>
        </w:rPr>
        <w:t xml:space="preserve"> and </w:t>
      </w:r>
      <w:r w:rsidR="00F36E19" w:rsidRPr="00076F58">
        <w:rPr>
          <w:sz w:val="20"/>
          <w:szCs w:val="20"/>
        </w:rPr>
        <w:t>Week 52 (</w:t>
      </w:r>
      <w:r w:rsidR="00E15E11" w:rsidRPr="00076F58">
        <w:rPr>
          <w:b/>
          <w:bCs/>
          <w:sz w:val="20"/>
          <w:szCs w:val="20"/>
        </w:rPr>
        <w:t xml:space="preserve">Figure </w:t>
      </w:r>
      <w:r w:rsidR="00F36E19" w:rsidRPr="00076F58">
        <w:rPr>
          <w:b/>
          <w:bCs/>
          <w:sz w:val="20"/>
          <w:szCs w:val="20"/>
        </w:rPr>
        <w:t>1</w:t>
      </w:r>
      <w:r w:rsidR="00F36E19" w:rsidRPr="00076F58">
        <w:rPr>
          <w:sz w:val="20"/>
          <w:szCs w:val="20"/>
        </w:rPr>
        <w:t>).</w:t>
      </w:r>
      <w:r w:rsidR="00883EA3" w:rsidRPr="00076F58">
        <w:rPr>
          <w:sz w:val="20"/>
          <w:szCs w:val="20"/>
        </w:rPr>
        <w:t xml:space="preserve"> For ASDAS-MI, there was a greater difference in response rates between subgroups compared with ASAS40, with </w:t>
      </w:r>
      <w:r w:rsidR="00486065" w:rsidRPr="00076F58">
        <w:rPr>
          <w:sz w:val="20"/>
          <w:szCs w:val="20"/>
        </w:rPr>
        <w:t xml:space="preserve">numerically higher </w:t>
      </w:r>
      <w:r w:rsidR="00883EA3" w:rsidRPr="00076F58">
        <w:rPr>
          <w:sz w:val="20"/>
          <w:szCs w:val="20"/>
        </w:rPr>
        <w:t xml:space="preserve">response rates </w:t>
      </w:r>
      <w:r w:rsidR="00486065" w:rsidRPr="00076F58">
        <w:rPr>
          <w:sz w:val="20"/>
          <w:szCs w:val="20"/>
        </w:rPr>
        <w:t xml:space="preserve">in </w:t>
      </w:r>
      <w:r w:rsidR="00883EA3" w:rsidRPr="00076F58">
        <w:rPr>
          <w:sz w:val="20"/>
          <w:szCs w:val="20"/>
        </w:rPr>
        <w:t xml:space="preserve">the </w:t>
      </w:r>
      <w:r w:rsidR="005053A7" w:rsidRPr="00076F58">
        <w:rPr>
          <w:sz w:val="20"/>
          <w:szCs w:val="20"/>
        </w:rPr>
        <w:t>MRI+/CRP+ and MRI</w:t>
      </w:r>
      <w:r w:rsidR="00B811D3" w:rsidRPr="00076F58">
        <w:rPr>
          <w:sz w:val="20"/>
          <w:szCs w:val="20"/>
        </w:rPr>
        <w:t>−</w:t>
      </w:r>
      <w:r w:rsidR="005053A7" w:rsidRPr="00076F58">
        <w:rPr>
          <w:sz w:val="20"/>
          <w:szCs w:val="20"/>
        </w:rPr>
        <w:t>/CRP+</w:t>
      </w:r>
      <w:r w:rsidR="00883EA3" w:rsidRPr="00076F58">
        <w:rPr>
          <w:sz w:val="20"/>
          <w:szCs w:val="20"/>
        </w:rPr>
        <w:t xml:space="preserve"> subgroups vs the MRI+/CRP</w:t>
      </w:r>
      <w:r w:rsidR="00B811D3" w:rsidRPr="00076F58">
        <w:rPr>
          <w:sz w:val="20"/>
          <w:szCs w:val="20"/>
        </w:rPr>
        <w:t>−</w:t>
      </w:r>
      <w:r w:rsidR="00883EA3" w:rsidRPr="00076F58">
        <w:rPr>
          <w:sz w:val="20"/>
          <w:szCs w:val="20"/>
        </w:rPr>
        <w:t xml:space="preserve"> subgroup (</w:t>
      </w:r>
      <w:r w:rsidR="00883EA3" w:rsidRPr="00076F58">
        <w:rPr>
          <w:b/>
          <w:bCs/>
          <w:sz w:val="20"/>
          <w:szCs w:val="20"/>
        </w:rPr>
        <w:t>Figure 1</w:t>
      </w:r>
      <w:r w:rsidR="00006BC5" w:rsidRPr="00076F58">
        <w:rPr>
          <w:b/>
          <w:bCs/>
          <w:sz w:val="20"/>
          <w:szCs w:val="20"/>
        </w:rPr>
        <w:t>a</w:t>
      </w:r>
      <w:r w:rsidR="00883EA3" w:rsidRPr="00076F58">
        <w:rPr>
          <w:sz w:val="20"/>
          <w:szCs w:val="20"/>
        </w:rPr>
        <w:t>)</w:t>
      </w:r>
      <w:r w:rsidR="005053A7" w:rsidRPr="00076F58">
        <w:rPr>
          <w:sz w:val="20"/>
          <w:szCs w:val="20"/>
        </w:rPr>
        <w:t>.</w:t>
      </w:r>
      <w:r w:rsidR="00F36E19" w:rsidRPr="00076F58">
        <w:rPr>
          <w:sz w:val="20"/>
          <w:szCs w:val="20"/>
        </w:rPr>
        <w:t xml:space="preserve"> </w:t>
      </w:r>
      <w:r w:rsidR="00342BCE" w:rsidRPr="00076F58">
        <w:rPr>
          <w:sz w:val="20"/>
          <w:szCs w:val="20"/>
        </w:rPr>
        <w:t>Since</w:t>
      </w:r>
      <w:r w:rsidR="00F36E19" w:rsidRPr="00076F58">
        <w:rPr>
          <w:sz w:val="20"/>
          <w:szCs w:val="20"/>
        </w:rPr>
        <w:t xml:space="preserve"> the ASDAS</w:t>
      </w:r>
      <w:r w:rsidR="00342BCE" w:rsidRPr="00076F58">
        <w:rPr>
          <w:sz w:val="20"/>
          <w:szCs w:val="20"/>
        </w:rPr>
        <w:t xml:space="preserve"> value is largely dependent on the</w:t>
      </w:r>
      <w:r w:rsidR="002410A6" w:rsidRPr="00076F58">
        <w:rPr>
          <w:sz w:val="20"/>
          <w:szCs w:val="20"/>
        </w:rPr>
        <w:t xml:space="preserve"> </w:t>
      </w:r>
      <w:r w:rsidR="00F36E19" w:rsidRPr="00076F58">
        <w:rPr>
          <w:sz w:val="20"/>
          <w:szCs w:val="20"/>
        </w:rPr>
        <w:t xml:space="preserve">CRP value, this </w:t>
      </w:r>
      <w:r w:rsidR="009B31BB">
        <w:rPr>
          <w:sz w:val="20"/>
          <w:szCs w:val="20"/>
        </w:rPr>
        <w:t>was</w:t>
      </w:r>
      <w:r w:rsidR="00F36E19" w:rsidRPr="00076F58">
        <w:rPr>
          <w:sz w:val="20"/>
          <w:szCs w:val="20"/>
        </w:rPr>
        <w:t xml:space="preserve"> to be expected.</w:t>
      </w:r>
      <w:r w:rsidR="006105B0" w:rsidRPr="00076F58">
        <w:rPr>
          <w:sz w:val="20"/>
          <w:szCs w:val="20"/>
        </w:rPr>
        <w:t xml:space="preserve"> </w:t>
      </w:r>
      <w:r w:rsidR="00F36E19" w:rsidRPr="00076F58">
        <w:rPr>
          <w:sz w:val="20"/>
          <w:szCs w:val="20"/>
        </w:rPr>
        <w:t>F</w:t>
      </w:r>
      <w:r w:rsidR="006105B0" w:rsidRPr="00076F58">
        <w:rPr>
          <w:sz w:val="20"/>
          <w:szCs w:val="20"/>
        </w:rPr>
        <w:t>or ASAS40</w:t>
      </w:r>
      <w:r w:rsidR="00F36E19" w:rsidRPr="00076F58">
        <w:rPr>
          <w:sz w:val="20"/>
          <w:szCs w:val="20"/>
        </w:rPr>
        <w:t xml:space="preserve">, </w:t>
      </w:r>
      <w:r w:rsidR="002410A6" w:rsidRPr="00076F58">
        <w:rPr>
          <w:sz w:val="20"/>
          <w:szCs w:val="20"/>
        </w:rPr>
        <w:t xml:space="preserve">the main secondary </w:t>
      </w:r>
      <w:r w:rsidR="00703954" w:rsidRPr="00076F58">
        <w:rPr>
          <w:sz w:val="20"/>
          <w:szCs w:val="20"/>
        </w:rPr>
        <w:t>outcome</w:t>
      </w:r>
      <w:r w:rsidR="002410A6" w:rsidRPr="00076F58">
        <w:rPr>
          <w:sz w:val="20"/>
          <w:szCs w:val="20"/>
        </w:rPr>
        <w:t xml:space="preserve">, </w:t>
      </w:r>
      <w:r w:rsidR="000A6F17" w:rsidRPr="00076F58">
        <w:rPr>
          <w:sz w:val="20"/>
          <w:szCs w:val="20"/>
        </w:rPr>
        <w:t xml:space="preserve">a numerically higher </w:t>
      </w:r>
      <w:r w:rsidR="00F36E19" w:rsidRPr="00076F58">
        <w:rPr>
          <w:sz w:val="20"/>
          <w:szCs w:val="20"/>
        </w:rPr>
        <w:t>response</w:t>
      </w:r>
      <w:r w:rsidR="000A6F17" w:rsidRPr="00076F58">
        <w:rPr>
          <w:sz w:val="20"/>
          <w:szCs w:val="20"/>
        </w:rPr>
        <w:t xml:space="preserve"> rate was also observed for the MRI+/CRP+ group, while </w:t>
      </w:r>
      <w:r w:rsidR="002F0242" w:rsidRPr="00076F58">
        <w:rPr>
          <w:sz w:val="20"/>
          <w:szCs w:val="20"/>
        </w:rPr>
        <w:t xml:space="preserve">response rates </w:t>
      </w:r>
      <w:r w:rsidR="006105B0" w:rsidRPr="00076F58">
        <w:rPr>
          <w:sz w:val="20"/>
          <w:szCs w:val="20"/>
        </w:rPr>
        <w:t xml:space="preserve">were comparable </w:t>
      </w:r>
      <w:r w:rsidR="000A6F17" w:rsidRPr="00076F58">
        <w:rPr>
          <w:sz w:val="20"/>
          <w:szCs w:val="20"/>
        </w:rPr>
        <w:t xml:space="preserve">for the other groups </w:t>
      </w:r>
      <w:r w:rsidR="006105B0" w:rsidRPr="00076F58">
        <w:rPr>
          <w:sz w:val="20"/>
          <w:szCs w:val="20"/>
        </w:rPr>
        <w:t>(</w:t>
      </w:r>
      <w:r w:rsidR="006105B0" w:rsidRPr="00076F58">
        <w:rPr>
          <w:b/>
          <w:bCs/>
          <w:sz w:val="20"/>
          <w:szCs w:val="20"/>
        </w:rPr>
        <w:t>Figure 1</w:t>
      </w:r>
      <w:r w:rsidR="00006BC5" w:rsidRPr="00076F58">
        <w:rPr>
          <w:b/>
          <w:bCs/>
          <w:sz w:val="20"/>
          <w:szCs w:val="20"/>
        </w:rPr>
        <w:t>b</w:t>
      </w:r>
      <w:r w:rsidR="006105B0" w:rsidRPr="00076F58">
        <w:rPr>
          <w:sz w:val="20"/>
          <w:szCs w:val="20"/>
        </w:rPr>
        <w:t>).</w:t>
      </w:r>
    </w:p>
    <w:p w14:paraId="026FE450" w14:textId="4F16ADEF" w:rsidR="004971BE" w:rsidRDefault="00562A05" w:rsidP="00902DF2">
      <w:pPr>
        <w:spacing w:after="0" w:line="240" w:lineRule="auto"/>
        <w:rPr>
          <w:sz w:val="20"/>
          <w:szCs w:val="20"/>
        </w:rPr>
      </w:pPr>
      <w:r w:rsidRPr="006B5F12">
        <w:rPr>
          <w:b/>
          <w:bCs/>
          <w:sz w:val="20"/>
          <w:szCs w:val="20"/>
        </w:rPr>
        <w:t>Conclusion:</w:t>
      </w:r>
      <w:r w:rsidR="00F36E19" w:rsidRPr="00076F58">
        <w:rPr>
          <w:sz w:val="20"/>
          <w:szCs w:val="20"/>
        </w:rPr>
        <w:t xml:space="preserve"> </w:t>
      </w:r>
      <w:r w:rsidR="008B1500" w:rsidRPr="00076F58">
        <w:rPr>
          <w:sz w:val="20"/>
          <w:szCs w:val="20"/>
        </w:rPr>
        <w:t>Clinically relevant responses were observed in nr-axSpA patients with either MRI and/or CRP positivity, with the highest response seen in the MRI+/CRP+ subgroup.</w:t>
      </w:r>
      <w:r w:rsidR="004971BE">
        <w:rPr>
          <w:sz w:val="20"/>
          <w:szCs w:val="20"/>
        </w:rPr>
        <w:t xml:space="preserve"> </w:t>
      </w:r>
    </w:p>
    <w:p w14:paraId="5ADF7183" w14:textId="386C7B39" w:rsidR="00432B0A" w:rsidRDefault="008D7E3E" w:rsidP="00902DF2">
      <w:pPr>
        <w:spacing w:after="0" w:line="240" w:lineRule="auto"/>
        <w:rPr>
          <w:sz w:val="20"/>
          <w:szCs w:val="20"/>
        </w:rPr>
      </w:pPr>
      <w:r w:rsidRPr="00076F58">
        <w:rPr>
          <w:b/>
          <w:bCs/>
          <w:sz w:val="20"/>
          <w:szCs w:val="20"/>
        </w:rPr>
        <w:t>Reference:</w:t>
      </w:r>
      <w:r w:rsidRPr="00076F58">
        <w:rPr>
          <w:sz w:val="20"/>
          <w:szCs w:val="20"/>
        </w:rPr>
        <w:t xml:space="preserve"> 1. </w:t>
      </w:r>
      <w:r w:rsidR="00CE021F" w:rsidRPr="00076F58">
        <w:rPr>
          <w:sz w:val="20"/>
          <w:szCs w:val="20"/>
        </w:rPr>
        <w:t xml:space="preserve">Deodhar </w:t>
      </w:r>
      <w:r w:rsidR="0093688B" w:rsidRPr="00076F58">
        <w:rPr>
          <w:sz w:val="20"/>
          <w:szCs w:val="20"/>
        </w:rPr>
        <w:t xml:space="preserve">A. Arthritis </w:t>
      </w:r>
      <w:proofErr w:type="spellStart"/>
      <w:r w:rsidR="0093688B" w:rsidRPr="00076F58">
        <w:rPr>
          <w:sz w:val="20"/>
          <w:szCs w:val="20"/>
        </w:rPr>
        <w:t>Rheumatol</w:t>
      </w:r>
      <w:proofErr w:type="spellEnd"/>
      <w:r w:rsidR="008B00E4" w:rsidRPr="00076F58">
        <w:rPr>
          <w:sz w:val="20"/>
          <w:szCs w:val="20"/>
        </w:rPr>
        <w:t xml:space="preserve"> 2019</w:t>
      </w:r>
      <w:r w:rsidR="0093688B" w:rsidRPr="00076F58">
        <w:rPr>
          <w:sz w:val="20"/>
          <w:szCs w:val="20"/>
        </w:rPr>
        <w:t>;71:1101</w:t>
      </w:r>
      <w:r w:rsidRPr="00076F58">
        <w:rPr>
          <w:sz w:val="20"/>
          <w:szCs w:val="20"/>
        </w:rPr>
        <w:t>–11.</w:t>
      </w:r>
      <w:r w:rsidR="00432B0A">
        <w:rPr>
          <w:sz w:val="20"/>
          <w:szCs w:val="20"/>
        </w:rPr>
        <w:t xml:space="preserve"> </w:t>
      </w:r>
      <w:r w:rsidR="00432B0A" w:rsidRPr="00432B0A">
        <w:rPr>
          <w:b/>
          <w:bCs/>
          <w:sz w:val="20"/>
          <w:szCs w:val="20"/>
        </w:rPr>
        <w:t>Funding:</w:t>
      </w:r>
      <w:r w:rsidR="00432B0A">
        <w:rPr>
          <w:sz w:val="20"/>
          <w:szCs w:val="20"/>
        </w:rPr>
        <w:t xml:space="preserve"> UCB Pharma.</w:t>
      </w:r>
    </w:p>
    <w:p w14:paraId="4912A67A" w14:textId="242FA283" w:rsidR="00432B0A" w:rsidRPr="004971BE" w:rsidRDefault="00F573B8" w:rsidP="00432B0A">
      <w:pPr>
        <w:pStyle w:val="Caption"/>
        <w:spacing w:after="0"/>
        <w:rPr>
          <w:sz w:val="20"/>
          <w:szCs w:val="20"/>
        </w:rPr>
      </w:pPr>
      <w:r w:rsidRPr="00300305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5C79A3C7" wp14:editId="527A5068">
            <wp:simplePos x="0" y="0"/>
            <wp:positionH relativeFrom="margin">
              <wp:align>right</wp:align>
            </wp:positionH>
            <wp:positionV relativeFrom="paragraph">
              <wp:posOffset>514938</wp:posOffset>
            </wp:positionV>
            <wp:extent cx="1514475" cy="1181100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E9F">
        <w:rPr>
          <w:noProof/>
          <w:sz w:val="13"/>
          <w:szCs w:val="13"/>
        </w:rPr>
        <w:drawing>
          <wp:anchor distT="0" distB="0" distL="114300" distR="114300" simplePos="0" relativeHeight="251670528" behindDoc="0" locked="0" layoutInCell="1" allowOverlap="1" wp14:anchorId="633F1D17" wp14:editId="43DD40DF">
            <wp:simplePos x="0" y="0"/>
            <wp:positionH relativeFrom="column">
              <wp:posOffset>2124075</wp:posOffset>
            </wp:positionH>
            <wp:positionV relativeFrom="paragraph">
              <wp:posOffset>303824</wp:posOffset>
            </wp:positionV>
            <wp:extent cx="1991360" cy="1676400"/>
            <wp:effectExtent l="0" t="0" r="889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305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0A33E1A6" wp14:editId="66FC0E66">
            <wp:simplePos x="0" y="0"/>
            <wp:positionH relativeFrom="margin">
              <wp:align>left</wp:align>
            </wp:positionH>
            <wp:positionV relativeFrom="paragraph">
              <wp:posOffset>344625</wp:posOffset>
            </wp:positionV>
            <wp:extent cx="2009775" cy="16192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0A" w:rsidRPr="008846EF">
        <w:rPr>
          <w:b/>
          <w:bCs/>
          <w:i w:val="0"/>
          <w:iCs w:val="0"/>
          <w:color w:val="auto"/>
          <w:sz w:val="20"/>
          <w:szCs w:val="20"/>
        </w:rPr>
        <w:t xml:space="preserve">Figure </w:t>
      </w:r>
      <w:r w:rsidR="00432B0A" w:rsidRPr="008846EF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="00432B0A" w:rsidRPr="008846EF">
        <w:rPr>
          <w:b/>
          <w:bCs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="00432B0A" w:rsidRPr="008846EF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432B0A" w:rsidRPr="008846EF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="00432B0A" w:rsidRPr="008846EF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432B0A" w:rsidRPr="008846EF">
        <w:rPr>
          <w:b/>
          <w:bCs/>
          <w:i w:val="0"/>
          <w:iCs w:val="0"/>
          <w:color w:val="auto"/>
          <w:sz w:val="20"/>
          <w:szCs w:val="20"/>
        </w:rPr>
        <w:t>.</w:t>
      </w:r>
      <w:r w:rsidR="00432B0A" w:rsidRPr="008846EF">
        <w:rPr>
          <w:i w:val="0"/>
          <w:iCs w:val="0"/>
          <w:color w:val="auto"/>
          <w:sz w:val="20"/>
          <w:szCs w:val="20"/>
        </w:rPr>
        <w:t xml:space="preserve"> ADSAS-MI and ASAS 40 response in patients stratified by baseline MRI/CRP status</w:t>
      </w:r>
    </w:p>
    <w:p w14:paraId="3D1C69C5" w14:textId="54C1C101" w:rsidR="00432B0A" w:rsidRDefault="00432B0A" w:rsidP="00902DF2">
      <w:pPr>
        <w:spacing w:after="0" w:line="240" w:lineRule="auto"/>
        <w:rPr>
          <w:b/>
          <w:bCs/>
        </w:rPr>
      </w:pPr>
    </w:p>
    <w:p w14:paraId="15532C79" w14:textId="2E8F504A" w:rsidR="00432B0A" w:rsidRPr="00432B0A" w:rsidRDefault="00432B0A" w:rsidP="00432B0A">
      <w:pPr>
        <w:pStyle w:val="Subtitle"/>
        <w:rPr>
          <w:sz w:val="13"/>
          <w:szCs w:val="13"/>
        </w:rPr>
      </w:pPr>
      <w:r w:rsidRPr="00D02768">
        <w:rPr>
          <w:sz w:val="13"/>
          <w:szCs w:val="13"/>
        </w:rPr>
        <w:t xml:space="preserve">Missing values, or values collected after switching to open-label treatment, were imputed using non-responder imputation. *p&lt;0.001 for CZP vs PBO. ASAS40: Assessment of </w:t>
      </w:r>
      <w:proofErr w:type="spellStart"/>
      <w:r w:rsidRPr="00D02768">
        <w:rPr>
          <w:sz w:val="13"/>
          <w:szCs w:val="13"/>
        </w:rPr>
        <w:t>SpondyloArthritis</w:t>
      </w:r>
      <w:proofErr w:type="spellEnd"/>
      <w:r w:rsidRPr="00D02768">
        <w:rPr>
          <w:sz w:val="13"/>
          <w:szCs w:val="13"/>
        </w:rPr>
        <w:t xml:space="preserve"> international Society 40% response; ASDAS-MI: Ankylosing Spondylitis Disease Activity Score – </w:t>
      </w:r>
      <w:r>
        <w:rPr>
          <w:sz w:val="13"/>
          <w:szCs w:val="13"/>
        </w:rPr>
        <w:t>M</w:t>
      </w:r>
      <w:r w:rsidRPr="00D02768">
        <w:rPr>
          <w:sz w:val="13"/>
          <w:szCs w:val="13"/>
        </w:rPr>
        <w:t xml:space="preserve">ajor </w:t>
      </w:r>
      <w:r>
        <w:rPr>
          <w:sz w:val="13"/>
          <w:szCs w:val="13"/>
        </w:rPr>
        <w:t>I</w:t>
      </w:r>
      <w:r w:rsidRPr="00D02768">
        <w:rPr>
          <w:sz w:val="13"/>
          <w:szCs w:val="13"/>
        </w:rPr>
        <w:t>mprovement; CRP: C-reactive protein; CZP: certolizumab pegol; PBO: placebo.</w:t>
      </w:r>
      <w:r w:rsidR="00125E9F" w:rsidRPr="00125E9F">
        <w:rPr>
          <w:noProof/>
        </w:rPr>
        <w:t xml:space="preserve"> </w:t>
      </w:r>
    </w:p>
    <w:sectPr w:rsidR="00432B0A" w:rsidRPr="00432B0A" w:rsidSect="001B300D"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C36F5" w14:textId="77777777" w:rsidR="00902DF2" w:rsidRDefault="00902DF2" w:rsidP="00902DF2">
      <w:pPr>
        <w:spacing w:after="0" w:line="240" w:lineRule="auto"/>
      </w:pPr>
      <w:r>
        <w:separator/>
      </w:r>
    </w:p>
  </w:endnote>
  <w:endnote w:type="continuationSeparator" w:id="0">
    <w:p w14:paraId="096E96D2" w14:textId="77777777" w:rsidR="00902DF2" w:rsidRDefault="00902DF2" w:rsidP="0090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FC16" w14:textId="4F24ECD9" w:rsidR="008A0397" w:rsidRPr="008A0397" w:rsidRDefault="008A0397">
    <w:pPr>
      <w:pStyle w:val="Footer"/>
      <w:rPr>
        <w:lang w:val="en-GB"/>
      </w:rPr>
    </w:pPr>
    <w:r>
      <w:rPr>
        <w:lang w:val="en-GB"/>
      </w:rPr>
      <w:t>Previously presented at ACR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8F2DD" w14:textId="77777777" w:rsidR="00902DF2" w:rsidRDefault="00902DF2" w:rsidP="00902DF2">
      <w:pPr>
        <w:spacing w:after="0" w:line="240" w:lineRule="auto"/>
      </w:pPr>
      <w:r>
        <w:separator/>
      </w:r>
    </w:p>
  </w:footnote>
  <w:footnote w:type="continuationSeparator" w:id="0">
    <w:p w14:paraId="2EA4FB55" w14:textId="77777777" w:rsidR="00902DF2" w:rsidRDefault="00902DF2" w:rsidP="0090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0089C"/>
    <w:multiLevelType w:val="hybridMultilevel"/>
    <w:tmpl w:val="89F858D0"/>
    <w:lvl w:ilvl="0" w:tplc="FD46136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6283D"/>
    <w:multiLevelType w:val="hybridMultilevel"/>
    <w:tmpl w:val="B7D0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7CF4"/>
    <w:multiLevelType w:val="hybridMultilevel"/>
    <w:tmpl w:val="7BA251DC"/>
    <w:lvl w:ilvl="0" w:tplc="2822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3FE4"/>
    <w:multiLevelType w:val="hybridMultilevel"/>
    <w:tmpl w:val="78D0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C1600"/>
    <w:multiLevelType w:val="hybridMultilevel"/>
    <w:tmpl w:val="59F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05"/>
    <w:rsid w:val="00006BC5"/>
    <w:rsid w:val="00010E8B"/>
    <w:rsid w:val="0001339E"/>
    <w:rsid w:val="00021966"/>
    <w:rsid w:val="00021CE9"/>
    <w:rsid w:val="00025BD1"/>
    <w:rsid w:val="000335A1"/>
    <w:rsid w:val="00046481"/>
    <w:rsid w:val="00050398"/>
    <w:rsid w:val="000564EA"/>
    <w:rsid w:val="00067715"/>
    <w:rsid w:val="00067970"/>
    <w:rsid w:val="00076A3A"/>
    <w:rsid w:val="00076F58"/>
    <w:rsid w:val="00083064"/>
    <w:rsid w:val="000866C7"/>
    <w:rsid w:val="00091E0E"/>
    <w:rsid w:val="0009312C"/>
    <w:rsid w:val="000953CA"/>
    <w:rsid w:val="000A6F17"/>
    <w:rsid w:val="000A76DF"/>
    <w:rsid w:val="000C13B2"/>
    <w:rsid w:val="000C219B"/>
    <w:rsid w:val="000C40FC"/>
    <w:rsid w:val="000D46F0"/>
    <w:rsid w:val="000E414A"/>
    <w:rsid w:val="000F505A"/>
    <w:rsid w:val="001037DE"/>
    <w:rsid w:val="00111A12"/>
    <w:rsid w:val="001258E9"/>
    <w:rsid w:val="00125E9F"/>
    <w:rsid w:val="00126747"/>
    <w:rsid w:val="00133C0E"/>
    <w:rsid w:val="00136989"/>
    <w:rsid w:val="001541A7"/>
    <w:rsid w:val="0016312F"/>
    <w:rsid w:val="00164448"/>
    <w:rsid w:val="001651A8"/>
    <w:rsid w:val="001679DF"/>
    <w:rsid w:val="00175123"/>
    <w:rsid w:val="001923F2"/>
    <w:rsid w:val="001A76E4"/>
    <w:rsid w:val="001B300D"/>
    <w:rsid w:val="001B3819"/>
    <w:rsid w:val="001B39ED"/>
    <w:rsid w:val="001B430B"/>
    <w:rsid w:val="001C3D44"/>
    <w:rsid w:val="001C63E7"/>
    <w:rsid w:val="001D4EAC"/>
    <w:rsid w:val="001D7A3B"/>
    <w:rsid w:val="001E33CA"/>
    <w:rsid w:val="001E45D8"/>
    <w:rsid w:val="001E7601"/>
    <w:rsid w:val="001F3D2A"/>
    <w:rsid w:val="002027A3"/>
    <w:rsid w:val="00203690"/>
    <w:rsid w:val="00204A06"/>
    <w:rsid w:val="00206ACE"/>
    <w:rsid w:val="00211AB5"/>
    <w:rsid w:val="00212BFB"/>
    <w:rsid w:val="002147BF"/>
    <w:rsid w:val="00214BF9"/>
    <w:rsid w:val="00217578"/>
    <w:rsid w:val="00222267"/>
    <w:rsid w:val="00222B72"/>
    <w:rsid w:val="00222FE3"/>
    <w:rsid w:val="002305B9"/>
    <w:rsid w:val="00232FF0"/>
    <w:rsid w:val="002410A6"/>
    <w:rsid w:val="00244971"/>
    <w:rsid w:val="002620A9"/>
    <w:rsid w:val="0026506E"/>
    <w:rsid w:val="002767C4"/>
    <w:rsid w:val="002804A3"/>
    <w:rsid w:val="00296EA1"/>
    <w:rsid w:val="002A0D5B"/>
    <w:rsid w:val="002A587A"/>
    <w:rsid w:val="002B1F66"/>
    <w:rsid w:val="002B28F0"/>
    <w:rsid w:val="002B44AF"/>
    <w:rsid w:val="002B6823"/>
    <w:rsid w:val="002C022E"/>
    <w:rsid w:val="002C2A18"/>
    <w:rsid w:val="002C3874"/>
    <w:rsid w:val="002C5E99"/>
    <w:rsid w:val="002D552D"/>
    <w:rsid w:val="002E3E84"/>
    <w:rsid w:val="002F020D"/>
    <w:rsid w:val="002F0242"/>
    <w:rsid w:val="002F5A9B"/>
    <w:rsid w:val="00300305"/>
    <w:rsid w:val="00311ABF"/>
    <w:rsid w:val="00331B1E"/>
    <w:rsid w:val="00332054"/>
    <w:rsid w:val="00333A8B"/>
    <w:rsid w:val="00342BCE"/>
    <w:rsid w:val="0034314F"/>
    <w:rsid w:val="00345C46"/>
    <w:rsid w:val="00354F77"/>
    <w:rsid w:val="003657A9"/>
    <w:rsid w:val="00376A35"/>
    <w:rsid w:val="003779BA"/>
    <w:rsid w:val="003841B1"/>
    <w:rsid w:val="00384D90"/>
    <w:rsid w:val="00394E9F"/>
    <w:rsid w:val="0039540C"/>
    <w:rsid w:val="003A00A7"/>
    <w:rsid w:val="003A0342"/>
    <w:rsid w:val="003A18EA"/>
    <w:rsid w:val="003A5AB0"/>
    <w:rsid w:val="003B5376"/>
    <w:rsid w:val="003B77E5"/>
    <w:rsid w:val="003C6C96"/>
    <w:rsid w:val="003C70CA"/>
    <w:rsid w:val="003D4B9C"/>
    <w:rsid w:val="003D4D1B"/>
    <w:rsid w:val="003E3103"/>
    <w:rsid w:val="003E354F"/>
    <w:rsid w:val="003E59D1"/>
    <w:rsid w:val="003E71CC"/>
    <w:rsid w:val="00412CE0"/>
    <w:rsid w:val="00415C85"/>
    <w:rsid w:val="00421F64"/>
    <w:rsid w:val="00422BFE"/>
    <w:rsid w:val="00427411"/>
    <w:rsid w:val="00432B0A"/>
    <w:rsid w:val="004340AA"/>
    <w:rsid w:val="004400D7"/>
    <w:rsid w:val="004405DD"/>
    <w:rsid w:val="00440A03"/>
    <w:rsid w:val="00440C51"/>
    <w:rsid w:val="00442B14"/>
    <w:rsid w:val="00442D7C"/>
    <w:rsid w:val="00453518"/>
    <w:rsid w:val="00475B18"/>
    <w:rsid w:val="00475D7D"/>
    <w:rsid w:val="0047764A"/>
    <w:rsid w:val="00484366"/>
    <w:rsid w:val="004852FB"/>
    <w:rsid w:val="00486065"/>
    <w:rsid w:val="00486998"/>
    <w:rsid w:val="004971BE"/>
    <w:rsid w:val="004A45C8"/>
    <w:rsid w:val="004C2874"/>
    <w:rsid w:val="004C61C2"/>
    <w:rsid w:val="004D0159"/>
    <w:rsid w:val="004D1168"/>
    <w:rsid w:val="004D3747"/>
    <w:rsid w:val="004D5720"/>
    <w:rsid w:val="004D58BB"/>
    <w:rsid w:val="004E0FD3"/>
    <w:rsid w:val="004E2670"/>
    <w:rsid w:val="00502A03"/>
    <w:rsid w:val="005053A7"/>
    <w:rsid w:val="005069B7"/>
    <w:rsid w:val="00520531"/>
    <w:rsid w:val="00520FA9"/>
    <w:rsid w:val="00521310"/>
    <w:rsid w:val="00521FC0"/>
    <w:rsid w:val="005255B8"/>
    <w:rsid w:val="00530390"/>
    <w:rsid w:val="005311A2"/>
    <w:rsid w:val="005355BE"/>
    <w:rsid w:val="00537C8F"/>
    <w:rsid w:val="005424AB"/>
    <w:rsid w:val="00555BEB"/>
    <w:rsid w:val="00562A05"/>
    <w:rsid w:val="00562A07"/>
    <w:rsid w:val="00565B2D"/>
    <w:rsid w:val="00583C82"/>
    <w:rsid w:val="005922A1"/>
    <w:rsid w:val="005940D9"/>
    <w:rsid w:val="005B0B4E"/>
    <w:rsid w:val="005B2893"/>
    <w:rsid w:val="005C4D74"/>
    <w:rsid w:val="005D4550"/>
    <w:rsid w:val="005E4E71"/>
    <w:rsid w:val="005E5803"/>
    <w:rsid w:val="005F1906"/>
    <w:rsid w:val="005F2925"/>
    <w:rsid w:val="00602A5E"/>
    <w:rsid w:val="006051D2"/>
    <w:rsid w:val="00606350"/>
    <w:rsid w:val="00607B5B"/>
    <w:rsid w:val="006105B0"/>
    <w:rsid w:val="00612C7C"/>
    <w:rsid w:val="00613D7D"/>
    <w:rsid w:val="006402A7"/>
    <w:rsid w:val="0064414B"/>
    <w:rsid w:val="00646EB7"/>
    <w:rsid w:val="00650A3A"/>
    <w:rsid w:val="006672B0"/>
    <w:rsid w:val="006743C4"/>
    <w:rsid w:val="00681CAF"/>
    <w:rsid w:val="00682A60"/>
    <w:rsid w:val="006834E4"/>
    <w:rsid w:val="00691ED0"/>
    <w:rsid w:val="00695065"/>
    <w:rsid w:val="006B3261"/>
    <w:rsid w:val="006B3A98"/>
    <w:rsid w:val="006B41A9"/>
    <w:rsid w:val="006B5F12"/>
    <w:rsid w:val="006D1FEA"/>
    <w:rsid w:val="006D5721"/>
    <w:rsid w:val="006E4E81"/>
    <w:rsid w:val="006E5FD1"/>
    <w:rsid w:val="006E771C"/>
    <w:rsid w:val="006F3AA3"/>
    <w:rsid w:val="00701191"/>
    <w:rsid w:val="00701304"/>
    <w:rsid w:val="00703954"/>
    <w:rsid w:val="00703FE3"/>
    <w:rsid w:val="00704AC6"/>
    <w:rsid w:val="00723E55"/>
    <w:rsid w:val="00726B85"/>
    <w:rsid w:val="00732AC0"/>
    <w:rsid w:val="007425E5"/>
    <w:rsid w:val="00744CAE"/>
    <w:rsid w:val="0074668B"/>
    <w:rsid w:val="00760DFF"/>
    <w:rsid w:val="007624F1"/>
    <w:rsid w:val="007935B4"/>
    <w:rsid w:val="0079472A"/>
    <w:rsid w:val="007972B3"/>
    <w:rsid w:val="007A04F6"/>
    <w:rsid w:val="007A1A86"/>
    <w:rsid w:val="007A2246"/>
    <w:rsid w:val="007A587C"/>
    <w:rsid w:val="007B3FED"/>
    <w:rsid w:val="007B6BC2"/>
    <w:rsid w:val="007D2C96"/>
    <w:rsid w:val="007D3402"/>
    <w:rsid w:val="007D7ADD"/>
    <w:rsid w:val="007D7DC6"/>
    <w:rsid w:val="007F08C8"/>
    <w:rsid w:val="007F6533"/>
    <w:rsid w:val="008032B7"/>
    <w:rsid w:val="00806CC6"/>
    <w:rsid w:val="00806FC5"/>
    <w:rsid w:val="0081694F"/>
    <w:rsid w:val="0082149C"/>
    <w:rsid w:val="0082399D"/>
    <w:rsid w:val="008247C8"/>
    <w:rsid w:val="008254D1"/>
    <w:rsid w:val="00826E39"/>
    <w:rsid w:val="00834001"/>
    <w:rsid w:val="0085287D"/>
    <w:rsid w:val="00867589"/>
    <w:rsid w:val="00873081"/>
    <w:rsid w:val="00875EB1"/>
    <w:rsid w:val="008806A9"/>
    <w:rsid w:val="00883EA3"/>
    <w:rsid w:val="008846EF"/>
    <w:rsid w:val="008A0397"/>
    <w:rsid w:val="008A5E01"/>
    <w:rsid w:val="008A6589"/>
    <w:rsid w:val="008A699D"/>
    <w:rsid w:val="008B00E4"/>
    <w:rsid w:val="008B1500"/>
    <w:rsid w:val="008B24AE"/>
    <w:rsid w:val="008B319C"/>
    <w:rsid w:val="008B4F69"/>
    <w:rsid w:val="008C7798"/>
    <w:rsid w:val="008D0B9D"/>
    <w:rsid w:val="008D7E3E"/>
    <w:rsid w:val="008E4F64"/>
    <w:rsid w:val="008E5121"/>
    <w:rsid w:val="008E517C"/>
    <w:rsid w:val="008F5925"/>
    <w:rsid w:val="008F71A9"/>
    <w:rsid w:val="00902DF2"/>
    <w:rsid w:val="00914F90"/>
    <w:rsid w:val="00924615"/>
    <w:rsid w:val="00924FE4"/>
    <w:rsid w:val="0093688B"/>
    <w:rsid w:val="0096422F"/>
    <w:rsid w:val="00982ADA"/>
    <w:rsid w:val="00983617"/>
    <w:rsid w:val="0098454D"/>
    <w:rsid w:val="009858CD"/>
    <w:rsid w:val="009A56D2"/>
    <w:rsid w:val="009B11ED"/>
    <w:rsid w:val="009B3174"/>
    <w:rsid w:val="009B31BB"/>
    <w:rsid w:val="009C14C4"/>
    <w:rsid w:val="009C14DF"/>
    <w:rsid w:val="009C3B0A"/>
    <w:rsid w:val="009D0D08"/>
    <w:rsid w:val="009D624E"/>
    <w:rsid w:val="009E5FD9"/>
    <w:rsid w:val="009F0557"/>
    <w:rsid w:val="009F231C"/>
    <w:rsid w:val="00A0636B"/>
    <w:rsid w:val="00A45187"/>
    <w:rsid w:val="00A45F9C"/>
    <w:rsid w:val="00A465E5"/>
    <w:rsid w:val="00A46A81"/>
    <w:rsid w:val="00A5479F"/>
    <w:rsid w:val="00A663B7"/>
    <w:rsid w:val="00A712B8"/>
    <w:rsid w:val="00A743D2"/>
    <w:rsid w:val="00A7634F"/>
    <w:rsid w:val="00A8124E"/>
    <w:rsid w:val="00A823D8"/>
    <w:rsid w:val="00A85020"/>
    <w:rsid w:val="00A872AE"/>
    <w:rsid w:val="00A87420"/>
    <w:rsid w:val="00AB25B1"/>
    <w:rsid w:val="00AB36FA"/>
    <w:rsid w:val="00AB4045"/>
    <w:rsid w:val="00AC33CE"/>
    <w:rsid w:val="00AE1C71"/>
    <w:rsid w:val="00AE269D"/>
    <w:rsid w:val="00AF0262"/>
    <w:rsid w:val="00AF38AD"/>
    <w:rsid w:val="00AF5199"/>
    <w:rsid w:val="00B03723"/>
    <w:rsid w:val="00B04AA9"/>
    <w:rsid w:val="00B059D5"/>
    <w:rsid w:val="00B05EA1"/>
    <w:rsid w:val="00B111F6"/>
    <w:rsid w:val="00B13688"/>
    <w:rsid w:val="00B175A3"/>
    <w:rsid w:val="00B17EC7"/>
    <w:rsid w:val="00B234BF"/>
    <w:rsid w:val="00B23504"/>
    <w:rsid w:val="00B235E9"/>
    <w:rsid w:val="00B31DB7"/>
    <w:rsid w:val="00B361FB"/>
    <w:rsid w:val="00B46C74"/>
    <w:rsid w:val="00B54F49"/>
    <w:rsid w:val="00B6301D"/>
    <w:rsid w:val="00B66145"/>
    <w:rsid w:val="00B70414"/>
    <w:rsid w:val="00B726BA"/>
    <w:rsid w:val="00B73F00"/>
    <w:rsid w:val="00B7429F"/>
    <w:rsid w:val="00B74B5E"/>
    <w:rsid w:val="00B811D3"/>
    <w:rsid w:val="00B876DB"/>
    <w:rsid w:val="00B912F5"/>
    <w:rsid w:val="00B97457"/>
    <w:rsid w:val="00BA0317"/>
    <w:rsid w:val="00BC244C"/>
    <w:rsid w:val="00BC3CA6"/>
    <w:rsid w:val="00BD1244"/>
    <w:rsid w:val="00BE55DE"/>
    <w:rsid w:val="00BE6F99"/>
    <w:rsid w:val="00BF0379"/>
    <w:rsid w:val="00BF71C4"/>
    <w:rsid w:val="00BF75B9"/>
    <w:rsid w:val="00BF7B85"/>
    <w:rsid w:val="00C01001"/>
    <w:rsid w:val="00C018E6"/>
    <w:rsid w:val="00C02EFB"/>
    <w:rsid w:val="00C03BC5"/>
    <w:rsid w:val="00C0558D"/>
    <w:rsid w:val="00C064F5"/>
    <w:rsid w:val="00C06C74"/>
    <w:rsid w:val="00C076D9"/>
    <w:rsid w:val="00C264F3"/>
    <w:rsid w:val="00C33073"/>
    <w:rsid w:val="00C36354"/>
    <w:rsid w:val="00C442F5"/>
    <w:rsid w:val="00C4534F"/>
    <w:rsid w:val="00C464C8"/>
    <w:rsid w:val="00C47642"/>
    <w:rsid w:val="00C566FC"/>
    <w:rsid w:val="00C61EB8"/>
    <w:rsid w:val="00C65503"/>
    <w:rsid w:val="00C709C4"/>
    <w:rsid w:val="00C71855"/>
    <w:rsid w:val="00C90492"/>
    <w:rsid w:val="00C912CF"/>
    <w:rsid w:val="00C959BA"/>
    <w:rsid w:val="00C96C0C"/>
    <w:rsid w:val="00CA1B24"/>
    <w:rsid w:val="00CA2336"/>
    <w:rsid w:val="00CA69CA"/>
    <w:rsid w:val="00CB0E6C"/>
    <w:rsid w:val="00CB1237"/>
    <w:rsid w:val="00CB3D26"/>
    <w:rsid w:val="00CC0CDD"/>
    <w:rsid w:val="00CC6C36"/>
    <w:rsid w:val="00CD0F9E"/>
    <w:rsid w:val="00CD3294"/>
    <w:rsid w:val="00CD5708"/>
    <w:rsid w:val="00CD611B"/>
    <w:rsid w:val="00CD693D"/>
    <w:rsid w:val="00CD75B0"/>
    <w:rsid w:val="00CE021F"/>
    <w:rsid w:val="00CE02A5"/>
    <w:rsid w:val="00CE4117"/>
    <w:rsid w:val="00CE6336"/>
    <w:rsid w:val="00CE6D9E"/>
    <w:rsid w:val="00D02768"/>
    <w:rsid w:val="00D15528"/>
    <w:rsid w:val="00D161E5"/>
    <w:rsid w:val="00D2446E"/>
    <w:rsid w:val="00D30597"/>
    <w:rsid w:val="00D417ED"/>
    <w:rsid w:val="00D532BC"/>
    <w:rsid w:val="00D63342"/>
    <w:rsid w:val="00D63CB4"/>
    <w:rsid w:val="00D83E60"/>
    <w:rsid w:val="00D94FF8"/>
    <w:rsid w:val="00D9580F"/>
    <w:rsid w:val="00D962A9"/>
    <w:rsid w:val="00DA1277"/>
    <w:rsid w:val="00DA7847"/>
    <w:rsid w:val="00DB2899"/>
    <w:rsid w:val="00DB6265"/>
    <w:rsid w:val="00DC283C"/>
    <w:rsid w:val="00DD20CA"/>
    <w:rsid w:val="00DD2D9F"/>
    <w:rsid w:val="00DD6327"/>
    <w:rsid w:val="00DD7984"/>
    <w:rsid w:val="00DF2DC8"/>
    <w:rsid w:val="00DF6525"/>
    <w:rsid w:val="00E00687"/>
    <w:rsid w:val="00E01622"/>
    <w:rsid w:val="00E0332A"/>
    <w:rsid w:val="00E04158"/>
    <w:rsid w:val="00E04974"/>
    <w:rsid w:val="00E15E11"/>
    <w:rsid w:val="00E30EC3"/>
    <w:rsid w:val="00E310B1"/>
    <w:rsid w:val="00E37A30"/>
    <w:rsid w:val="00E50BA5"/>
    <w:rsid w:val="00E576D5"/>
    <w:rsid w:val="00E609B4"/>
    <w:rsid w:val="00E63CD6"/>
    <w:rsid w:val="00E7752B"/>
    <w:rsid w:val="00E958A8"/>
    <w:rsid w:val="00E96594"/>
    <w:rsid w:val="00E97F7E"/>
    <w:rsid w:val="00EA277C"/>
    <w:rsid w:val="00EB05F4"/>
    <w:rsid w:val="00EC37A7"/>
    <w:rsid w:val="00EC4FD2"/>
    <w:rsid w:val="00ED450B"/>
    <w:rsid w:val="00ED5E7C"/>
    <w:rsid w:val="00EE2141"/>
    <w:rsid w:val="00EE52BE"/>
    <w:rsid w:val="00EF096C"/>
    <w:rsid w:val="00F04B3C"/>
    <w:rsid w:val="00F069EB"/>
    <w:rsid w:val="00F17274"/>
    <w:rsid w:val="00F20BED"/>
    <w:rsid w:val="00F24008"/>
    <w:rsid w:val="00F33E80"/>
    <w:rsid w:val="00F36E19"/>
    <w:rsid w:val="00F37DBA"/>
    <w:rsid w:val="00F40590"/>
    <w:rsid w:val="00F44A6F"/>
    <w:rsid w:val="00F45B93"/>
    <w:rsid w:val="00F54E62"/>
    <w:rsid w:val="00F573B8"/>
    <w:rsid w:val="00F6323A"/>
    <w:rsid w:val="00F75BD7"/>
    <w:rsid w:val="00F76954"/>
    <w:rsid w:val="00F81C50"/>
    <w:rsid w:val="00F84F72"/>
    <w:rsid w:val="00F93C08"/>
    <w:rsid w:val="00FA2C6B"/>
    <w:rsid w:val="00FA4591"/>
    <w:rsid w:val="00FB1C4E"/>
    <w:rsid w:val="00FB2519"/>
    <w:rsid w:val="00FB41CA"/>
    <w:rsid w:val="00FB74ED"/>
    <w:rsid w:val="00FC28EA"/>
    <w:rsid w:val="00FC32F6"/>
    <w:rsid w:val="00FC4335"/>
    <w:rsid w:val="00FC6750"/>
    <w:rsid w:val="00FD2CA2"/>
    <w:rsid w:val="00FD3671"/>
    <w:rsid w:val="00FD452B"/>
    <w:rsid w:val="00FF25B1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D816"/>
  <w15:chartTrackingRefBased/>
  <w15:docId w15:val="{68797E19-55BF-BF4D-9BCA-688045C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6E"/>
    <w:pPr>
      <w:spacing w:after="240" w:line="360" w:lineRule="auto"/>
    </w:pPr>
    <w:rPr>
      <w:rFonts w:ascii="Tahoma" w:eastAsia="Times New Roman" w:hAnsi="Tahoma" w:cs="Tahoma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B0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8F0"/>
    <w:pPr>
      <w:spacing w:after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23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82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2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442F5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72B0"/>
    <w:rPr>
      <w:rFonts w:ascii="Tahoma" w:eastAsia="Times New Roman" w:hAnsi="Tahoma" w:cs="Tahoma"/>
      <w:b/>
      <w:bCs/>
      <w:lang w:eastAsia="en-GB"/>
    </w:rPr>
  </w:style>
  <w:style w:type="paragraph" w:styleId="NoSpacing">
    <w:name w:val="No Spacing"/>
    <w:uiPriority w:val="1"/>
    <w:qFormat/>
    <w:rsid w:val="00873081"/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B28F0"/>
    <w:rPr>
      <w:rFonts w:ascii="Tahoma" w:eastAsia="Times New Roman" w:hAnsi="Tahoma" w:cs="Tahoma"/>
      <w:b/>
      <w:bCs/>
      <w:sz w:val="22"/>
      <w:szCs w:val="22"/>
      <w:lang w:eastAsia="en-GB"/>
    </w:rPr>
  </w:style>
  <w:style w:type="table" w:styleId="PlainTable5">
    <w:name w:val="Plain Table 5"/>
    <w:basedOn w:val="TableNormal"/>
    <w:uiPriority w:val="45"/>
    <w:rsid w:val="002036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B0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B0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B0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B0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036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0B0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0B0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26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Bullets Points"/>
    <w:basedOn w:val="Normal"/>
    <w:link w:val="ListParagraphChar"/>
    <w:qFormat/>
    <w:rsid w:val="008D7E3E"/>
    <w:pPr>
      <w:ind w:left="720"/>
      <w:contextualSpacing/>
    </w:pPr>
  </w:style>
  <w:style w:type="paragraph" w:styleId="Subtitle">
    <w:name w:val="Subtitle"/>
    <w:aliases w:val="Footnote,Footnote1,Captions"/>
    <w:basedOn w:val="NoSpacing"/>
    <w:next w:val="Normal"/>
    <w:link w:val="SubtitleChar"/>
    <w:uiPriority w:val="11"/>
    <w:qFormat/>
    <w:rsid w:val="00875EB1"/>
    <w:rPr>
      <w:sz w:val="18"/>
      <w:szCs w:val="16"/>
    </w:rPr>
  </w:style>
  <w:style w:type="character" w:customStyle="1" w:styleId="SubtitleChar">
    <w:name w:val="Subtitle Char"/>
    <w:aliases w:val="Footnote Char,Footnote1 Char,Captions Char"/>
    <w:basedOn w:val="DefaultParagraphFont"/>
    <w:link w:val="Subtitle"/>
    <w:uiPriority w:val="11"/>
    <w:rsid w:val="00875EB1"/>
    <w:rPr>
      <w:rFonts w:ascii="Tahoma" w:eastAsia="Times New Roman" w:hAnsi="Tahoma" w:cs="Tahoma"/>
      <w:sz w:val="18"/>
      <w:szCs w:val="16"/>
      <w:lang w:eastAsia="en-GB"/>
    </w:rPr>
  </w:style>
  <w:style w:type="table" w:styleId="GridTable4-Accent5">
    <w:name w:val="Grid Table 4 Accent 5"/>
    <w:basedOn w:val="TableNormal"/>
    <w:uiPriority w:val="49"/>
    <w:rsid w:val="00F36E19"/>
    <w:tblPr>
      <w:tblStyleRowBandSize w:val="1"/>
      <w:tblStyleColBandSize w:val="1"/>
      <w:tblBorders>
        <w:top w:val="single" w:sz="4" w:space="0" w:color="95CEE3" w:themeColor="accent5" w:themeTint="99"/>
        <w:left w:val="single" w:sz="4" w:space="0" w:color="95CEE3" w:themeColor="accent5" w:themeTint="99"/>
        <w:bottom w:val="single" w:sz="4" w:space="0" w:color="95CEE3" w:themeColor="accent5" w:themeTint="99"/>
        <w:right w:val="single" w:sz="4" w:space="0" w:color="95CEE3" w:themeColor="accent5" w:themeTint="99"/>
        <w:insideH w:val="single" w:sz="4" w:space="0" w:color="95CEE3" w:themeColor="accent5" w:themeTint="99"/>
        <w:insideV w:val="single" w:sz="4" w:space="0" w:color="95CEE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AED1" w:themeColor="accent5"/>
          <w:left w:val="single" w:sz="4" w:space="0" w:color="4FAED1" w:themeColor="accent5"/>
          <w:bottom w:val="single" w:sz="4" w:space="0" w:color="4FAED1" w:themeColor="accent5"/>
          <w:right w:val="single" w:sz="4" w:space="0" w:color="4FAED1" w:themeColor="accent5"/>
          <w:insideH w:val="nil"/>
          <w:insideV w:val="nil"/>
        </w:tcBorders>
        <w:shd w:val="clear" w:color="auto" w:fill="4FAED1" w:themeFill="accent5"/>
      </w:tcPr>
    </w:tblStylePr>
    <w:tblStylePr w:type="lastRow">
      <w:rPr>
        <w:b/>
        <w:bCs/>
      </w:rPr>
      <w:tblPr/>
      <w:tcPr>
        <w:tcBorders>
          <w:top w:val="double" w:sz="4" w:space="0" w:color="4FAED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F5" w:themeFill="accent5" w:themeFillTint="33"/>
      </w:tcPr>
    </w:tblStylePr>
    <w:tblStylePr w:type="band1Horz">
      <w:tblPr/>
      <w:tcPr>
        <w:shd w:val="clear" w:color="auto" w:fill="DBEEF5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36E19"/>
    <w:tblPr>
      <w:tblStyleRowBandSize w:val="1"/>
      <w:tblStyleColBandSize w:val="1"/>
      <w:tblBorders>
        <w:top w:val="single" w:sz="4" w:space="0" w:color="768ACF" w:themeColor="accent1" w:themeTint="99"/>
        <w:left w:val="single" w:sz="4" w:space="0" w:color="768ACF" w:themeColor="accent1" w:themeTint="99"/>
        <w:bottom w:val="single" w:sz="4" w:space="0" w:color="768ACF" w:themeColor="accent1" w:themeTint="99"/>
        <w:right w:val="single" w:sz="4" w:space="0" w:color="768ACF" w:themeColor="accent1" w:themeTint="99"/>
        <w:insideH w:val="single" w:sz="4" w:space="0" w:color="768ACF" w:themeColor="accent1" w:themeTint="99"/>
        <w:insideV w:val="single" w:sz="4" w:space="0" w:color="768A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B96" w:themeColor="accent1"/>
          <w:left w:val="single" w:sz="4" w:space="0" w:color="354B96" w:themeColor="accent1"/>
          <w:bottom w:val="single" w:sz="4" w:space="0" w:color="354B96" w:themeColor="accent1"/>
          <w:right w:val="single" w:sz="4" w:space="0" w:color="354B96" w:themeColor="accent1"/>
          <w:insideH w:val="nil"/>
          <w:insideV w:val="nil"/>
        </w:tcBorders>
        <w:shd w:val="clear" w:color="auto" w:fill="354B96" w:themeFill="accent1"/>
      </w:tcPr>
    </w:tblStylePr>
    <w:tblStylePr w:type="lastRow">
      <w:rPr>
        <w:b/>
        <w:bCs/>
      </w:rPr>
      <w:tblPr/>
      <w:tcPr>
        <w:tcBorders>
          <w:top w:val="double" w:sz="4" w:space="0" w:color="354B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EF" w:themeFill="accent1" w:themeFillTint="33"/>
      </w:tcPr>
    </w:tblStylePr>
    <w:tblStylePr w:type="band1Horz">
      <w:tblPr/>
      <w:tcPr>
        <w:shd w:val="clear" w:color="auto" w:fill="D1D7EF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6E19"/>
    <w:rPr>
      <w:color w:val="273870" w:themeColor="accent1" w:themeShade="BF"/>
    </w:rPr>
    <w:tblPr>
      <w:tblStyleRowBandSize w:val="1"/>
      <w:tblStyleColBandSize w:val="1"/>
      <w:tblBorders>
        <w:top w:val="single" w:sz="4" w:space="0" w:color="768ACF" w:themeColor="accent1" w:themeTint="99"/>
        <w:left w:val="single" w:sz="4" w:space="0" w:color="768ACF" w:themeColor="accent1" w:themeTint="99"/>
        <w:bottom w:val="single" w:sz="4" w:space="0" w:color="768ACF" w:themeColor="accent1" w:themeTint="99"/>
        <w:right w:val="single" w:sz="4" w:space="0" w:color="768ACF" w:themeColor="accent1" w:themeTint="99"/>
        <w:insideH w:val="single" w:sz="4" w:space="0" w:color="768ACF" w:themeColor="accent1" w:themeTint="99"/>
        <w:insideV w:val="single" w:sz="4" w:space="0" w:color="768A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8A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8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EF" w:themeFill="accent1" w:themeFillTint="33"/>
      </w:tcPr>
    </w:tblStylePr>
    <w:tblStylePr w:type="band1Horz">
      <w:tblPr/>
      <w:tcPr>
        <w:shd w:val="clear" w:color="auto" w:fill="D1D7EF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6E19"/>
    <w:rPr>
      <w:color w:val="273870" w:themeColor="accent1" w:themeShade="BF"/>
    </w:rPr>
    <w:tblPr>
      <w:tblStyleRowBandSize w:val="1"/>
      <w:tblStyleColBandSize w:val="1"/>
      <w:tblBorders>
        <w:top w:val="single" w:sz="4" w:space="0" w:color="354B96" w:themeColor="accent1"/>
        <w:bottom w:val="single" w:sz="4" w:space="0" w:color="354B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54B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54B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EF" w:themeFill="accent1" w:themeFillTint="33"/>
      </w:tcPr>
    </w:tblStylePr>
    <w:tblStylePr w:type="band1Horz">
      <w:tblPr/>
      <w:tcPr>
        <w:shd w:val="clear" w:color="auto" w:fill="D1D7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F36E19"/>
    <w:rPr>
      <w:color w:val="636363" w:themeColor="text1"/>
    </w:rPr>
    <w:tblPr>
      <w:tblStyleRowBandSize w:val="1"/>
      <w:tblStyleColBandSize w:val="1"/>
      <w:tblBorders>
        <w:top w:val="single" w:sz="4" w:space="0" w:color="636363" w:themeColor="text1"/>
        <w:bottom w:val="single" w:sz="4" w:space="0" w:color="63636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63636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6363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33"/>
      </w:tcPr>
    </w:tblStylePr>
    <w:tblStylePr w:type="band1Horz">
      <w:tblPr/>
      <w:tcPr>
        <w:shd w:val="clear" w:color="auto" w:fill="DFDFDF" w:themeFill="text1" w:themeFillTint="33"/>
      </w:tcPr>
    </w:tblStylePr>
  </w:style>
  <w:style w:type="table" w:styleId="PlainTable1">
    <w:name w:val="Plain Table 1"/>
    <w:basedOn w:val="TableNormal"/>
    <w:uiPriority w:val="41"/>
    <w:rsid w:val="00F36E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unhideWhenUsed/>
    <w:rsid w:val="00AB25B1"/>
    <w:rPr>
      <w:color w:val="0000FF"/>
      <w:u w:val="single"/>
    </w:rPr>
  </w:style>
  <w:style w:type="character" w:customStyle="1" w:styleId="ListParagraphChar">
    <w:name w:val="List Paragraph Char"/>
    <w:aliases w:val="Bullets Points Char"/>
    <w:basedOn w:val="DefaultParagraphFont"/>
    <w:link w:val="ListParagraph"/>
    <w:uiPriority w:val="34"/>
    <w:rsid w:val="00AB25B1"/>
    <w:rPr>
      <w:rFonts w:ascii="Tahoma" w:eastAsia="Times New Roman" w:hAnsi="Tahoma" w:cs="Tahoma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7A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F2"/>
    <w:rPr>
      <w:rFonts w:ascii="Tahoma" w:eastAsia="Times New Roman" w:hAnsi="Tahoma" w:cs="Tahom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F2"/>
    <w:rPr>
      <w:rFonts w:ascii="Tahoma" w:eastAsia="Times New Roman" w:hAnsi="Tahoma" w:cs="Tahoma"/>
      <w:sz w:val="22"/>
      <w:szCs w:val="22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02DF2"/>
    <w:pPr>
      <w:spacing w:after="200" w:line="240" w:lineRule="auto"/>
    </w:pPr>
    <w:rPr>
      <w:i/>
      <w:iCs/>
      <w:color w:val="354B9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9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CB New">
  <a:themeElements>
    <a:clrScheme name="Custom 12">
      <a:dk1>
        <a:srgbClr val="636363"/>
      </a:dk1>
      <a:lt1>
        <a:srgbClr val="FFFFFF"/>
      </a:lt1>
      <a:dk2>
        <a:srgbClr val="354B96"/>
      </a:dk2>
      <a:lt2>
        <a:srgbClr val="FFFFFF"/>
      </a:lt2>
      <a:accent1>
        <a:srgbClr val="354B96"/>
      </a:accent1>
      <a:accent2>
        <a:srgbClr val="BC204B"/>
      </a:accent2>
      <a:accent3>
        <a:srgbClr val="5E366E"/>
      </a:accent3>
      <a:accent4>
        <a:srgbClr val="D57800"/>
      </a:accent4>
      <a:accent5>
        <a:srgbClr val="4FAED1"/>
      </a:accent5>
      <a:accent6>
        <a:srgbClr val="97BB3A"/>
      </a:accent6>
      <a:hlink>
        <a:srgbClr val="636363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D9D9CED0FD347BEE8036E6F3C44E2" ma:contentTypeVersion="13" ma:contentTypeDescription="Create a new document." ma:contentTypeScope="" ma:versionID="9dd718dc6e334402b20a7b5fd2b7339d">
  <xsd:schema xmlns:xsd="http://www.w3.org/2001/XMLSchema" xmlns:xs="http://www.w3.org/2001/XMLSchema" xmlns:p="http://schemas.microsoft.com/office/2006/metadata/properties" xmlns:ns3="757acf04-d5be-4db8-ac72-991aa4f42155" xmlns:ns4="09f0353e-1e70-40f2-9ce4-97ab60ee0eff" targetNamespace="http://schemas.microsoft.com/office/2006/metadata/properties" ma:root="true" ma:fieldsID="66fe9f7234af1a4c60e596e9cece149b" ns3:_="" ns4:_="">
    <xsd:import namespace="757acf04-d5be-4db8-ac72-991aa4f42155"/>
    <xsd:import namespace="09f0353e-1e70-40f2-9ce4-97ab60ee0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cf04-d5be-4db8-ac72-991aa4f421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353e-1e70-40f2-9ce4-97ab60ee0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F300-466A-462F-B5EF-0AA26A9010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9f0353e-1e70-40f2-9ce4-97ab60ee0eff"/>
    <ds:schemaRef ds:uri="757acf04-d5be-4db8-ac72-991aa4f421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09541D-2D71-4861-9A83-6FDD7CF24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acf04-d5be-4db8-ac72-991aa4f42155"/>
    <ds:schemaRef ds:uri="09f0353e-1e70-40f2-9ce4-97ab60ee0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D499E-3D86-4D26-90D6-485F68B56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Will Cherry</cp:lastModifiedBy>
  <cp:revision>3</cp:revision>
  <dcterms:created xsi:type="dcterms:W3CDTF">2021-02-26T18:15:00Z</dcterms:created>
  <dcterms:modified xsi:type="dcterms:W3CDTF">2021-02-26T18:15:00Z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0x0101003F0D9D9CED0FD347BEE8036E6F3C44E2</vt:lpwstr>
  </property>
</Properties>
</file>