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7BE1FD" w14:textId="44CA590E" w:rsidR="003516A4" w:rsidRPr="00D90377" w:rsidRDefault="00053969" w:rsidP="00D90377">
      <w:pPr>
        <w:pStyle w:val="Title"/>
        <w:spacing w:line="240" w:lineRule="auto"/>
        <w:rPr>
          <w:sz w:val="22"/>
          <w:szCs w:val="22"/>
        </w:rPr>
      </w:pPr>
      <w:r w:rsidRPr="00D90377">
        <w:rPr>
          <w:sz w:val="22"/>
          <w:szCs w:val="22"/>
        </w:rPr>
        <w:t xml:space="preserve">Bimekizumab Long-Term Efficacy and Safety Over 96 Weeks in Patients </w:t>
      </w:r>
      <w:r w:rsidR="003B39BE" w:rsidRPr="00D90377">
        <w:rPr>
          <w:sz w:val="22"/>
          <w:szCs w:val="22"/>
        </w:rPr>
        <w:t>w</w:t>
      </w:r>
      <w:r w:rsidRPr="00D90377">
        <w:rPr>
          <w:sz w:val="22"/>
          <w:szCs w:val="22"/>
        </w:rPr>
        <w:t>ith Ankylosing Spondylitis</w:t>
      </w:r>
      <w:r w:rsidR="00835759">
        <w:rPr>
          <w:sz w:val="22"/>
          <w:szCs w:val="22"/>
        </w:rPr>
        <w:t xml:space="preserve"> (AS)</w:t>
      </w:r>
      <w:r w:rsidRPr="00D90377">
        <w:rPr>
          <w:sz w:val="22"/>
          <w:szCs w:val="22"/>
        </w:rPr>
        <w:t xml:space="preserve">: Interim Results </w:t>
      </w:r>
      <w:r w:rsidR="003B39BE" w:rsidRPr="00D90377">
        <w:rPr>
          <w:sz w:val="22"/>
          <w:szCs w:val="22"/>
        </w:rPr>
        <w:t>f</w:t>
      </w:r>
      <w:r w:rsidRPr="00D90377">
        <w:rPr>
          <w:sz w:val="22"/>
          <w:szCs w:val="22"/>
        </w:rPr>
        <w:t>rom a Phase 2b Open-Label Extension Study</w:t>
      </w:r>
    </w:p>
    <w:p w14:paraId="338EBE38" w14:textId="7AE996D6" w:rsidR="003516A4" w:rsidRPr="00EB18BB" w:rsidRDefault="003516A4" w:rsidP="00D90377">
      <w:pPr>
        <w:spacing w:after="0" w:line="240" w:lineRule="auto"/>
        <w:rPr>
          <w:rFonts w:eastAsiaTheme="minorHAnsi"/>
          <w:lang w:val="en-GB"/>
        </w:rPr>
      </w:pPr>
      <w:r w:rsidRPr="00EB18BB">
        <w:rPr>
          <w:rFonts w:eastAsiaTheme="minorHAnsi"/>
          <w:lang w:val="en-GB"/>
        </w:rPr>
        <w:t>X</w:t>
      </w:r>
      <w:r w:rsidR="00053969">
        <w:rPr>
          <w:rFonts w:eastAsiaTheme="minorHAnsi"/>
          <w:lang w:val="en-GB"/>
        </w:rPr>
        <w:t>enofon</w:t>
      </w:r>
      <w:r w:rsidRPr="00EB18BB">
        <w:rPr>
          <w:rFonts w:eastAsiaTheme="minorHAnsi"/>
          <w:lang w:val="en-GB"/>
        </w:rPr>
        <w:t xml:space="preserve"> Baraliakos,</w:t>
      </w:r>
      <w:r w:rsidRPr="00EB18BB">
        <w:rPr>
          <w:rFonts w:eastAsiaTheme="minorHAnsi"/>
          <w:vertAlign w:val="superscript"/>
          <w:lang w:val="en-GB"/>
        </w:rPr>
        <w:t>1</w:t>
      </w:r>
      <w:r w:rsidRPr="00EB18BB">
        <w:rPr>
          <w:rFonts w:eastAsiaTheme="minorHAnsi"/>
          <w:lang w:val="en-GB"/>
        </w:rPr>
        <w:t xml:space="preserve"> A</w:t>
      </w:r>
      <w:r w:rsidR="00053969">
        <w:rPr>
          <w:rFonts w:eastAsiaTheme="minorHAnsi"/>
          <w:lang w:val="en-GB"/>
        </w:rPr>
        <w:t>tul</w:t>
      </w:r>
      <w:r w:rsidRPr="00EB18BB">
        <w:rPr>
          <w:rFonts w:eastAsiaTheme="minorHAnsi"/>
          <w:lang w:val="en-GB"/>
        </w:rPr>
        <w:t xml:space="preserve"> Deodhar,</w:t>
      </w:r>
      <w:r w:rsidRPr="00EB18BB">
        <w:rPr>
          <w:rFonts w:eastAsiaTheme="minorHAnsi"/>
          <w:vertAlign w:val="superscript"/>
          <w:lang w:val="en-GB"/>
        </w:rPr>
        <w:t>2</w:t>
      </w:r>
      <w:r w:rsidRPr="00EB18BB">
        <w:rPr>
          <w:rFonts w:eastAsiaTheme="minorHAnsi"/>
          <w:lang w:val="en-GB"/>
        </w:rPr>
        <w:t xml:space="preserve"> M</w:t>
      </w:r>
      <w:r w:rsidR="00053969">
        <w:rPr>
          <w:rFonts w:eastAsiaTheme="minorHAnsi"/>
          <w:lang w:val="en-GB"/>
        </w:rPr>
        <w:t>axime</w:t>
      </w:r>
      <w:r w:rsidRPr="00EB18BB">
        <w:rPr>
          <w:rFonts w:eastAsiaTheme="minorHAnsi"/>
          <w:lang w:val="en-GB"/>
        </w:rPr>
        <w:t xml:space="preserve"> Dougados,</w:t>
      </w:r>
      <w:r w:rsidRPr="00EB18BB">
        <w:rPr>
          <w:rFonts w:eastAsiaTheme="minorHAnsi"/>
          <w:vertAlign w:val="superscript"/>
          <w:lang w:val="en-GB"/>
        </w:rPr>
        <w:t>3</w:t>
      </w:r>
      <w:r w:rsidRPr="00EB18BB">
        <w:rPr>
          <w:rFonts w:eastAsiaTheme="minorHAnsi"/>
          <w:lang w:val="en-GB"/>
        </w:rPr>
        <w:t xml:space="preserve"> </w:t>
      </w:r>
      <w:proofErr w:type="spellStart"/>
      <w:r w:rsidRPr="00EB18BB">
        <w:rPr>
          <w:rFonts w:eastAsiaTheme="minorHAnsi"/>
          <w:lang w:val="en-GB"/>
        </w:rPr>
        <w:t>M</w:t>
      </w:r>
      <w:r w:rsidR="00053969">
        <w:rPr>
          <w:rFonts w:eastAsiaTheme="minorHAnsi"/>
          <w:lang w:val="en-GB"/>
        </w:rPr>
        <w:t>arga</w:t>
      </w:r>
      <w:proofErr w:type="spellEnd"/>
      <w:r w:rsidRPr="00EB18BB">
        <w:rPr>
          <w:rFonts w:eastAsiaTheme="minorHAnsi"/>
          <w:lang w:val="en-GB"/>
        </w:rPr>
        <w:t xml:space="preserve"> Oortgiesen,</w:t>
      </w:r>
      <w:r w:rsidRPr="00EB18BB">
        <w:rPr>
          <w:rFonts w:eastAsiaTheme="minorHAnsi"/>
          <w:vertAlign w:val="superscript"/>
          <w:lang w:val="en-GB"/>
        </w:rPr>
        <w:t>4</w:t>
      </w:r>
      <w:r w:rsidRPr="00EB18BB">
        <w:rPr>
          <w:rFonts w:eastAsiaTheme="minorHAnsi"/>
          <w:lang w:val="en-GB"/>
        </w:rPr>
        <w:t xml:space="preserve"> N</w:t>
      </w:r>
      <w:r w:rsidR="00053969">
        <w:rPr>
          <w:rFonts w:eastAsiaTheme="minorHAnsi"/>
          <w:lang w:val="en-GB"/>
        </w:rPr>
        <w:t>atasha</w:t>
      </w:r>
      <w:r w:rsidRPr="00EB18BB">
        <w:rPr>
          <w:rFonts w:eastAsiaTheme="minorHAnsi"/>
          <w:lang w:val="en-GB"/>
        </w:rPr>
        <w:t xml:space="preserve"> de Peyrecave,</w:t>
      </w:r>
      <w:r w:rsidRPr="00EB18BB">
        <w:rPr>
          <w:rFonts w:eastAsiaTheme="minorHAnsi"/>
          <w:vertAlign w:val="superscript"/>
          <w:lang w:val="en-GB"/>
        </w:rPr>
        <w:t>5</w:t>
      </w:r>
      <w:r w:rsidRPr="00EB18BB">
        <w:rPr>
          <w:rFonts w:eastAsiaTheme="minorHAnsi"/>
          <w:lang w:val="en-GB"/>
        </w:rPr>
        <w:t xml:space="preserve"> M</w:t>
      </w:r>
      <w:r w:rsidR="00053969">
        <w:rPr>
          <w:rFonts w:eastAsiaTheme="minorHAnsi"/>
          <w:lang w:val="en-GB"/>
        </w:rPr>
        <w:t>artin</w:t>
      </w:r>
      <w:r w:rsidRPr="00EB18BB">
        <w:rPr>
          <w:rFonts w:eastAsiaTheme="minorHAnsi"/>
          <w:lang w:val="en-GB"/>
        </w:rPr>
        <w:t xml:space="preserve"> Bauer,</w:t>
      </w:r>
      <w:r w:rsidRPr="00EB18BB">
        <w:rPr>
          <w:rFonts w:eastAsiaTheme="minorHAnsi"/>
          <w:vertAlign w:val="superscript"/>
          <w:lang w:val="en-GB"/>
        </w:rPr>
        <w:t>6</w:t>
      </w:r>
      <w:r w:rsidRPr="00EB18BB">
        <w:rPr>
          <w:rFonts w:eastAsiaTheme="minorHAnsi"/>
          <w:lang w:val="en-GB"/>
        </w:rPr>
        <w:t xml:space="preserve"> T</w:t>
      </w:r>
      <w:r w:rsidR="00053969">
        <w:rPr>
          <w:rFonts w:eastAsiaTheme="minorHAnsi"/>
          <w:lang w:val="en-GB"/>
        </w:rPr>
        <w:t>homas</w:t>
      </w:r>
      <w:r w:rsidRPr="00EB18BB">
        <w:rPr>
          <w:rFonts w:eastAsiaTheme="minorHAnsi"/>
          <w:lang w:val="en-GB"/>
        </w:rPr>
        <w:t xml:space="preserve"> Vaux,</w:t>
      </w:r>
      <w:r w:rsidRPr="00EB18BB">
        <w:rPr>
          <w:rFonts w:eastAsiaTheme="minorHAnsi"/>
          <w:vertAlign w:val="superscript"/>
          <w:lang w:val="en-GB"/>
        </w:rPr>
        <w:t>7</w:t>
      </w:r>
      <w:r w:rsidRPr="00EB18BB">
        <w:rPr>
          <w:rFonts w:eastAsiaTheme="minorHAnsi"/>
          <w:lang w:val="en-GB"/>
        </w:rPr>
        <w:t xml:space="preserve"> </w:t>
      </w:r>
      <w:r w:rsidR="00357394">
        <w:rPr>
          <w:rFonts w:eastAsiaTheme="minorHAnsi"/>
          <w:lang w:val="en-GB"/>
        </w:rPr>
        <w:t>Carmen Fleurinck,</w:t>
      </w:r>
      <w:r w:rsidR="00357394" w:rsidRPr="00357394">
        <w:rPr>
          <w:rFonts w:eastAsiaTheme="minorHAnsi"/>
          <w:vertAlign w:val="superscript"/>
          <w:lang w:val="en-GB"/>
        </w:rPr>
        <w:t>5</w:t>
      </w:r>
      <w:r w:rsidR="00357394">
        <w:rPr>
          <w:rFonts w:eastAsiaTheme="minorHAnsi"/>
          <w:lang w:val="en-GB"/>
        </w:rPr>
        <w:t xml:space="preserve"> </w:t>
      </w:r>
      <w:proofErr w:type="spellStart"/>
      <w:r w:rsidRPr="00EB18BB">
        <w:rPr>
          <w:rFonts w:eastAsiaTheme="minorHAnsi"/>
          <w:lang w:val="en-GB"/>
        </w:rPr>
        <w:t>D</w:t>
      </w:r>
      <w:r w:rsidR="002D7949">
        <w:rPr>
          <w:rFonts w:eastAsiaTheme="minorHAnsi"/>
          <w:lang w:val="en-GB"/>
        </w:rPr>
        <w:t>é</w:t>
      </w:r>
      <w:r w:rsidR="00053969">
        <w:rPr>
          <w:rFonts w:eastAsiaTheme="minorHAnsi"/>
          <w:lang w:val="en-GB"/>
        </w:rPr>
        <w:t>sirée</w:t>
      </w:r>
      <w:proofErr w:type="spellEnd"/>
      <w:r w:rsidRPr="00EB18BB">
        <w:rPr>
          <w:rFonts w:eastAsiaTheme="minorHAnsi"/>
          <w:lang w:val="en-GB"/>
        </w:rPr>
        <w:t xml:space="preserve"> van der Heijde</w:t>
      </w:r>
      <w:r w:rsidRPr="00EB18BB">
        <w:rPr>
          <w:rFonts w:eastAsiaTheme="minorHAnsi"/>
          <w:vertAlign w:val="superscript"/>
          <w:lang w:val="en-GB"/>
        </w:rPr>
        <w:t>8</w:t>
      </w:r>
    </w:p>
    <w:p w14:paraId="41A30BBF" w14:textId="7151D812" w:rsidR="003516A4" w:rsidRPr="00080284" w:rsidRDefault="00157C8F" w:rsidP="00D90377">
      <w:pPr>
        <w:pStyle w:val="NoSpacing"/>
        <w:rPr>
          <w:i/>
          <w:iCs/>
        </w:rPr>
      </w:pPr>
      <w:r w:rsidRPr="00D90377">
        <w:rPr>
          <w:i/>
          <w:iCs/>
          <w:vertAlign w:val="superscript"/>
          <w:lang w:val="de-DE"/>
        </w:rPr>
        <w:t>1</w:t>
      </w:r>
      <w:r w:rsidR="003516A4" w:rsidRPr="00080284">
        <w:rPr>
          <w:i/>
          <w:iCs/>
          <w:lang w:val="de-DE"/>
        </w:rPr>
        <w:t>Rheumazentrum Ruhrgebiet Herne, Ruhr-University Bochum, Germany</w:t>
      </w:r>
      <w:r>
        <w:rPr>
          <w:i/>
          <w:iCs/>
        </w:rPr>
        <w:t xml:space="preserve">; </w:t>
      </w:r>
      <w:r w:rsidRPr="00D90377">
        <w:rPr>
          <w:i/>
          <w:iCs/>
          <w:vertAlign w:val="superscript"/>
        </w:rPr>
        <w:t>2</w:t>
      </w:r>
      <w:r w:rsidR="003516A4" w:rsidRPr="00080284">
        <w:rPr>
          <w:i/>
          <w:iCs/>
        </w:rPr>
        <w:t xml:space="preserve">Oregon Health &amp; Science University, Portland, </w:t>
      </w:r>
      <w:r w:rsidR="00B36AED">
        <w:rPr>
          <w:i/>
          <w:iCs/>
        </w:rPr>
        <w:t xml:space="preserve">OR, </w:t>
      </w:r>
      <w:r w:rsidR="003516A4" w:rsidRPr="00080284">
        <w:rPr>
          <w:i/>
          <w:iCs/>
        </w:rPr>
        <w:t>USA</w:t>
      </w:r>
      <w:r>
        <w:rPr>
          <w:i/>
          <w:iCs/>
        </w:rPr>
        <w:t>;</w:t>
      </w:r>
      <w:r>
        <w:rPr>
          <w:i/>
          <w:iCs/>
          <w:lang w:val="fr-BE"/>
        </w:rPr>
        <w:t xml:space="preserve"> </w:t>
      </w:r>
      <w:r w:rsidRPr="00D90377">
        <w:rPr>
          <w:i/>
          <w:iCs/>
          <w:vertAlign w:val="superscript"/>
          <w:lang w:val="fr-BE"/>
        </w:rPr>
        <w:t>3</w:t>
      </w:r>
      <w:r w:rsidR="003516A4" w:rsidRPr="00822B52">
        <w:rPr>
          <w:i/>
          <w:iCs/>
          <w:lang w:val="fr-BE"/>
        </w:rPr>
        <w:t xml:space="preserve">Université de Paris, </w:t>
      </w:r>
      <w:proofErr w:type="spellStart"/>
      <w:r w:rsidR="003516A4" w:rsidRPr="00822B52">
        <w:rPr>
          <w:i/>
          <w:iCs/>
          <w:lang w:val="fr-BE"/>
        </w:rPr>
        <w:t>Department</w:t>
      </w:r>
      <w:proofErr w:type="spellEnd"/>
      <w:r w:rsidR="003516A4" w:rsidRPr="00822B52">
        <w:rPr>
          <w:i/>
          <w:iCs/>
          <w:lang w:val="fr-BE"/>
        </w:rPr>
        <w:t xml:space="preserve"> of </w:t>
      </w:r>
      <w:proofErr w:type="spellStart"/>
      <w:r w:rsidR="003516A4" w:rsidRPr="00822B52">
        <w:rPr>
          <w:i/>
          <w:iCs/>
          <w:lang w:val="fr-BE"/>
        </w:rPr>
        <w:t>Rheumatology</w:t>
      </w:r>
      <w:proofErr w:type="spellEnd"/>
      <w:r w:rsidR="003516A4" w:rsidRPr="00822B52">
        <w:rPr>
          <w:i/>
          <w:iCs/>
          <w:lang w:val="fr-BE"/>
        </w:rPr>
        <w:t>, Hôpital Cochin, Assistance Publique-Hôpitaux de Paris, France</w:t>
      </w:r>
      <w:r>
        <w:rPr>
          <w:i/>
          <w:iCs/>
          <w:lang w:val="it-IT"/>
        </w:rPr>
        <w:t xml:space="preserve">; </w:t>
      </w:r>
      <w:r w:rsidRPr="00D90377">
        <w:rPr>
          <w:i/>
          <w:iCs/>
          <w:vertAlign w:val="superscript"/>
          <w:lang w:val="it-IT"/>
        </w:rPr>
        <w:t>4</w:t>
      </w:r>
      <w:r w:rsidR="003516A4" w:rsidRPr="00080284">
        <w:rPr>
          <w:i/>
          <w:iCs/>
          <w:lang w:val="it-IT"/>
        </w:rPr>
        <w:t>UCB Pharma, Raleigh, NC, USA</w:t>
      </w:r>
      <w:r>
        <w:rPr>
          <w:i/>
          <w:iCs/>
        </w:rPr>
        <w:t xml:space="preserve">; </w:t>
      </w:r>
      <w:r w:rsidRPr="00D90377">
        <w:rPr>
          <w:i/>
          <w:iCs/>
          <w:vertAlign w:val="superscript"/>
        </w:rPr>
        <w:t>5</w:t>
      </w:r>
      <w:r w:rsidR="003516A4" w:rsidRPr="00080284">
        <w:rPr>
          <w:i/>
          <w:iCs/>
        </w:rPr>
        <w:t>UCB Pharma, Brussels, Belgium</w:t>
      </w:r>
      <w:r>
        <w:rPr>
          <w:i/>
          <w:iCs/>
          <w:lang w:val="de-DE"/>
        </w:rPr>
        <w:t xml:space="preserve">; </w:t>
      </w:r>
      <w:r w:rsidRPr="00D90377">
        <w:rPr>
          <w:i/>
          <w:iCs/>
          <w:vertAlign w:val="superscript"/>
          <w:lang w:val="de-DE"/>
        </w:rPr>
        <w:t>6</w:t>
      </w:r>
      <w:r w:rsidR="003516A4" w:rsidRPr="00080284">
        <w:rPr>
          <w:i/>
          <w:iCs/>
          <w:lang w:val="de-DE"/>
        </w:rPr>
        <w:t>UCB Pharma, Monheim am Rhein, Germany</w:t>
      </w:r>
      <w:r>
        <w:rPr>
          <w:i/>
          <w:iCs/>
        </w:rPr>
        <w:t xml:space="preserve">; </w:t>
      </w:r>
      <w:r w:rsidRPr="00D90377">
        <w:rPr>
          <w:i/>
          <w:iCs/>
          <w:vertAlign w:val="superscript"/>
        </w:rPr>
        <w:t>7</w:t>
      </w:r>
      <w:r w:rsidR="003516A4" w:rsidRPr="00080284">
        <w:rPr>
          <w:i/>
          <w:iCs/>
        </w:rPr>
        <w:t>UCB Pharma, Slough, UK</w:t>
      </w:r>
      <w:r>
        <w:rPr>
          <w:i/>
          <w:iCs/>
        </w:rPr>
        <w:t xml:space="preserve">; </w:t>
      </w:r>
      <w:r w:rsidRPr="00D90377">
        <w:rPr>
          <w:i/>
          <w:iCs/>
          <w:vertAlign w:val="superscript"/>
        </w:rPr>
        <w:t>8</w:t>
      </w:r>
      <w:r w:rsidR="003516A4" w:rsidRPr="00080284">
        <w:rPr>
          <w:i/>
          <w:iCs/>
        </w:rPr>
        <w:t xml:space="preserve">Department of Rheumatology, Leiden University Medical </w:t>
      </w:r>
      <w:proofErr w:type="spellStart"/>
      <w:r w:rsidR="003516A4" w:rsidRPr="00080284">
        <w:rPr>
          <w:i/>
          <w:iCs/>
        </w:rPr>
        <w:t>Center</w:t>
      </w:r>
      <w:proofErr w:type="spellEnd"/>
      <w:r w:rsidR="003516A4" w:rsidRPr="00080284">
        <w:rPr>
          <w:i/>
          <w:iCs/>
        </w:rPr>
        <w:t>, Leiden, the Netherlands</w:t>
      </w:r>
    </w:p>
    <w:p w14:paraId="3D422620" w14:textId="0A7B3C64" w:rsidR="003516A4" w:rsidRPr="00D90377" w:rsidRDefault="003A3A0E" w:rsidP="00D90377">
      <w:pPr>
        <w:spacing w:after="0" w:line="240" w:lineRule="auto"/>
        <w:rPr>
          <w:sz w:val="20"/>
          <w:szCs w:val="20"/>
        </w:rPr>
      </w:pPr>
      <w:r w:rsidRPr="00D90377">
        <w:rPr>
          <w:b/>
          <w:sz w:val="20"/>
          <w:szCs w:val="20"/>
        </w:rPr>
        <w:t>B</w:t>
      </w:r>
      <w:r w:rsidR="00C77607" w:rsidRPr="00D90377">
        <w:rPr>
          <w:b/>
          <w:sz w:val="20"/>
          <w:szCs w:val="20"/>
        </w:rPr>
        <w:t>ackground</w:t>
      </w:r>
      <w:r w:rsidR="003516A4" w:rsidRPr="00D90377">
        <w:rPr>
          <w:b/>
          <w:sz w:val="20"/>
          <w:szCs w:val="20"/>
        </w:rPr>
        <w:t>:</w:t>
      </w:r>
      <w:r w:rsidR="003516A4" w:rsidRPr="00D90377">
        <w:rPr>
          <w:sz w:val="20"/>
          <w:szCs w:val="20"/>
        </w:rPr>
        <w:t xml:space="preserve"> </w:t>
      </w:r>
      <w:bookmarkStart w:id="0" w:name="_Hlk31300888"/>
      <w:r w:rsidR="003516A4" w:rsidRPr="00D90377">
        <w:rPr>
          <w:sz w:val="20"/>
          <w:szCs w:val="20"/>
        </w:rPr>
        <w:t xml:space="preserve">We report </w:t>
      </w:r>
      <w:bookmarkEnd w:id="0"/>
      <w:r w:rsidR="003516A4" w:rsidRPr="00D90377">
        <w:rPr>
          <w:sz w:val="20"/>
          <w:szCs w:val="20"/>
        </w:rPr>
        <w:t xml:space="preserve">2-year interim efficacy and safety of </w:t>
      </w:r>
      <w:r w:rsidR="007F2982">
        <w:rPr>
          <w:sz w:val="20"/>
          <w:szCs w:val="20"/>
        </w:rPr>
        <w:t>bimekizumab (</w:t>
      </w:r>
      <w:r w:rsidR="003516A4" w:rsidRPr="00D90377">
        <w:rPr>
          <w:sz w:val="20"/>
          <w:szCs w:val="20"/>
        </w:rPr>
        <w:t>BKZ</w:t>
      </w:r>
      <w:r w:rsidR="007F2982">
        <w:rPr>
          <w:sz w:val="20"/>
          <w:szCs w:val="20"/>
        </w:rPr>
        <w:t>), an inhibitor of</w:t>
      </w:r>
      <w:r w:rsidR="00835759">
        <w:rPr>
          <w:sz w:val="20"/>
          <w:szCs w:val="20"/>
        </w:rPr>
        <w:t xml:space="preserve"> interleukin</w:t>
      </w:r>
      <w:r w:rsidR="007F2982">
        <w:rPr>
          <w:sz w:val="20"/>
          <w:szCs w:val="20"/>
        </w:rPr>
        <w:t xml:space="preserve"> </w:t>
      </w:r>
      <w:r w:rsidR="00835759">
        <w:rPr>
          <w:sz w:val="20"/>
          <w:szCs w:val="20"/>
        </w:rPr>
        <w:t>(</w:t>
      </w:r>
      <w:r w:rsidR="007F2982">
        <w:rPr>
          <w:sz w:val="20"/>
          <w:szCs w:val="20"/>
        </w:rPr>
        <w:t>IL</w:t>
      </w:r>
      <w:r w:rsidR="00835759">
        <w:rPr>
          <w:sz w:val="20"/>
          <w:szCs w:val="20"/>
        </w:rPr>
        <w:t>)</w:t>
      </w:r>
      <w:r w:rsidR="007F2982">
        <w:rPr>
          <w:sz w:val="20"/>
          <w:szCs w:val="20"/>
        </w:rPr>
        <w:t>-17A and IL-17F,</w:t>
      </w:r>
      <w:r w:rsidR="003516A4" w:rsidRPr="00D90377">
        <w:rPr>
          <w:sz w:val="20"/>
          <w:szCs w:val="20"/>
        </w:rPr>
        <w:t xml:space="preserve"> in patients with</w:t>
      </w:r>
      <w:r w:rsidR="00D128A1" w:rsidRPr="00D90377">
        <w:rPr>
          <w:sz w:val="20"/>
          <w:szCs w:val="20"/>
        </w:rPr>
        <w:t xml:space="preserve"> active</w:t>
      </w:r>
      <w:r w:rsidR="003516A4" w:rsidRPr="00D90377">
        <w:rPr>
          <w:sz w:val="20"/>
          <w:szCs w:val="20"/>
        </w:rPr>
        <w:t xml:space="preserve"> AS from a phase 2b dose-ranging study (BE</w:t>
      </w:r>
      <w:r w:rsidR="005075EA" w:rsidRPr="00D90377">
        <w:rPr>
          <w:sz w:val="20"/>
          <w:szCs w:val="20"/>
        </w:rPr>
        <w:t> </w:t>
      </w:r>
      <w:r w:rsidR="003516A4" w:rsidRPr="00D90377">
        <w:rPr>
          <w:sz w:val="20"/>
          <w:szCs w:val="20"/>
        </w:rPr>
        <w:t>AGILE</w:t>
      </w:r>
      <w:r w:rsidR="002F346C" w:rsidRPr="00D90377">
        <w:rPr>
          <w:sz w:val="20"/>
          <w:szCs w:val="20"/>
        </w:rPr>
        <w:t>;</w:t>
      </w:r>
      <w:r w:rsidR="00697E02" w:rsidRPr="00D90377">
        <w:rPr>
          <w:sz w:val="20"/>
          <w:szCs w:val="20"/>
        </w:rPr>
        <w:t xml:space="preserve"> </w:t>
      </w:r>
      <w:r w:rsidR="003516A4" w:rsidRPr="00D90377">
        <w:rPr>
          <w:sz w:val="20"/>
          <w:szCs w:val="20"/>
        </w:rPr>
        <w:t>NCT02963506) and</w:t>
      </w:r>
      <w:r w:rsidR="00822B52" w:rsidRPr="00D90377">
        <w:rPr>
          <w:sz w:val="20"/>
          <w:szCs w:val="20"/>
        </w:rPr>
        <w:t xml:space="preserve"> ongoing</w:t>
      </w:r>
      <w:r w:rsidR="003516A4" w:rsidRPr="00D90377">
        <w:rPr>
          <w:sz w:val="20"/>
          <w:szCs w:val="20"/>
        </w:rPr>
        <w:t xml:space="preserve"> open-label extension (OLE; NCT03355573).</w:t>
      </w:r>
    </w:p>
    <w:p w14:paraId="2DBD5E09" w14:textId="2A911AAE" w:rsidR="003516A4" w:rsidRPr="00D90377" w:rsidRDefault="003516A4" w:rsidP="00D90377">
      <w:pPr>
        <w:spacing w:after="0" w:line="240" w:lineRule="auto"/>
        <w:rPr>
          <w:sz w:val="20"/>
          <w:szCs w:val="20"/>
        </w:rPr>
      </w:pPr>
      <w:r w:rsidRPr="00D90377">
        <w:rPr>
          <w:b/>
          <w:sz w:val="20"/>
          <w:szCs w:val="20"/>
        </w:rPr>
        <w:t xml:space="preserve">Methods: </w:t>
      </w:r>
      <w:bookmarkStart w:id="1" w:name="_Hlk30695543"/>
      <w:bookmarkStart w:id="2" w:name="_Hlk31300881"/>
      <w:r w:rsidR="00697E02" w:rsidRPr="00D90377">
        <w:rPr>
          <w:bCs/>
          <w:sz w:val="20"/>
          <w:szCs w:val="20"/>
        </w:rPr>
        <w:t>BE</w:t>
      </w:r>
      <w:r w:rsidR="00EC5853" w:rsidRPr="00D90377">
        <w:rPr>
          <w:bCs/>
          <w:sz w:val="20"/>
          <w:szCs w:val="20"/>
        </w:rPr>
        <w:t xml:space="preserve"> </w:t>
      </w:r>
      <w:r w:rsidR="00697E02" w:rsidRPr="00D90377">
        <w:rPr>
          <w:bCs/>
          <w:sz w:val="20"/>
          <w:szCs w:val="20"/>
        </w:rPr>
        <w:t xml:space="preserve">AGILE </w:t>
      </w:r>
      <w:r w:rsidR="00E67BA9" w:rsidRPr="00D90377">
        <w:rPr>
          <w:bCs/>
          <w:sz w:val="20"/>
          <w:szCs w:val="20"/>
        </w:rPr>
        <w:t>consist</w:t>
      </w:r>
      <w:r w:rsidR="00822B52" w:rsidRPr="00D90377">
        <w:rPr>
          <w:bCs/>
          <w:sz w:val="20"/>
          <w:szCs w:val="20"/>
        </w:rPr>
        <w:t>ed</w:t>
      </w:r>
      <w:r w:rsidR="00E67BA9" w:rsidRPr="00D90377">
        <w:rPr>
          <w:bCs/>
          <w:sz w:val="20"/>
          <w:szCs w:val="20"/>
        </w:rPr>
        <w:t xml:space="preserve"> of a </w:t>
      </w:r>
      <w:r w:rsidR="009E63C5" w:rsidRPr="00D90377">
        <w:rPr>
          <w:bCs/>
          <w:sz w:val="20"/>
          <w:szCs w:val="20"/>
        </w:rPr>
        <w:t>12-w</w:t>
      </w:r>
      <w:r w:rsidR="00CD31E3">
        <w:rPr>
          <w:bCs/>
          <w:sz w:val="20"/>
          <w:szCs w:val="20"/>
        </w:rPr>
        <w:t>ee</w:t>
      </w:r>
      <w:r w:rsidR="009E63C5" w:rsidRPr="00D90377">
        <w:rPr>
          <w:bCs/>
          <w:sz w:val="20"/>
          <w:szCs w:val="20"/>
        </w:rPr>
        <w:t>k dose-ranging period followed by a 36-w</w:t>
      </w:r>
      <w:r w:rsidR="00CD31E3">
        <w:rPr>
          <w:bCs/>
          <w:sz w:val="20"/>
          <w:szCs w:val="20"/>
        </w:rPr>
        <w:t>ee</w:t>
      </w:r>
      <w:r w:rsidR="009E63C5" w:rsidRPr="00D90377">
        <w:rPr>
          <w:bCs/>
          <w:sz w:val="20"/>
          <w:szCs w:val="20"/>
        </w:rPr>
        <w:t xml:space="preserve">k </w:t>
      </w:r>
      <w:r w:rsidR="00056C26" w:rsidRPr="00D90377">
        <w:rPr>
          <w:bCs/>
          <w:sz w:val="20"/>
          <w:szCs w:val="20"/>
        </w:rPr>
        <w:t xml:space="preserve">randomized </w:t>
      </w:r>
      <w:r w:rsidR="006C27E2" w:rsidRPr="00D90377">
        <w:rPr>
          <w:bCs/>
          <w:sz w:val="20"/>
          <w:szCs w:val="20"/>
        </w:rPr>
        <w:t>period</w:t>
      </w:r>
      <w:r w:rsidR="00056C26" w:rsidRPr="00D90377">
        <w:rPr>
          <w:bCs/>
          <w:sz w:val="20"/>
          <w:szCs w:val="20"/>
        </w:rPr>
        <w:t xml:space="preserve"> </w:t>
      </w:r>
      <w:r w:rsidR="00822B52" w:rsidRPr="00D90377">
        <w:rPr>
          <w:bCs/>
          <w:sz w:val="20"/>
          <w:szCs w:val="20"/>
        </w:rPr>
        <w:t xml:space="preserve">(BKZ </w:t>
      </w:r>
      <w:r w:rsidR="00056C26" w:rsidRPr="00D90377">
        <w:rPr>
          <w:bCs/>
          <w:sz w:val="20"/>
          <w:szCs w:val="20"/>
        </w:rPr>
        <w:t>160</w:t>
      </w:r>
      <w:r w:rsidR="001724AF">
        <w:rPr>
          <w:bCs/>
          <w:sz w:val="20"/>
          <w:szCs w:val="20"/>
        </w:rPr>
        <w:t>/</w:t>
      </w:r>
      <w:r w:rsidR="00006494" w:rsidRPr="00D90377">
        <w:rPr>
          <w:bCs/>
          <w:sz w:val="20"/>
          <w:szCs w:val="20"/>
        </w:rPr>
        <w:t>320</w:t>
      </w:r>
      <w:r w:rsidR="00CD31E3">
        <w:rPr>
          <w:bCs/>
          <w:sz w:val="20"/>
          <w:szCs w:val="20"/>
        </w:rPr>
        <w:t xml:space="preserve"> </w:t>
      </w:r>
      <w:r w:rsidR="00006494" w:rsidRPr="00D90377">
        <w:rPr>
          <w:bCs/>
          <w:sz w:val="20"/>
          <w:szCs w:val="20"/>
        </w:rPr>
        <w:t>mg</w:t>
      </w:r>
      <w:r w:rsidR="00822B52" w:rsidRPr="00D90377">
        <w:rPr>
          <w:bCs/>
          <w:sz w:val="20"/>
          <w:szCs w:val="20"/>
        </w:rPr>
        <w:t>)</w:t>
      </w:r>
      <w:r w:rsidRPr="00D90377">
        <w:rPr>
          <w:bCs/>
          <w:sz w:val="20"/>
          <w:szCs w:val="20"/>
        </w:rPr>
        <w:t>.</w:t>
      </w:r>
      <w:r w:rsidRPr="00D90377">
        <w:rPr>
          <w:bCs/>
          <w:sz w:val="20"/>
          <w:szCs w:val="20"/>
          <w:vertAlign w:val="superscript"/>
        </w:rPr>
        <w:t>1</w:t>
      </w:r>
      <w:r w:rsidRPr="00D90377">
        <w:rPr>
          <w:bCs/>
          <w:sz w:val="20"/>
          <w:szCs w:val="20"/>
        </w:rPr>
        <w:t xml:space="preserve"> Patients who completed 48 w</w:t>
      </w:r>
      <w:r w:rsidR="00CD31E3">
        <w:rPr>
          <w:bCs/>
          <w:sz w:val="20"/>
          <w:szCs w:val="20"/>
        </w:rPr>
        <w:t>ee</w:t>
      </w:r>
      <w:r w:rsidRPr="00D90377">
        <w:rPr>
          <w:bCs/>
          <w:sz w:val="20"/>
          <w:szCs w:val="20"/>
        </w:rPr>
        <w:t>ks’ treatment in BE</w:t>
      </w:r>
      <w:r w:rsidR="00EC5853" w:rsidRPr="00D90377">
        <w:rPr>
          <w:bCs/>
          <w:sz w:val="20"/>
          <w:szCs w:val="20"/>
        </w:rPr>
        <w:t xml:space="preserve"> </w:t>
      </w:r>
      <w:r w:rsidRPr="00D90377">
        <w:rPr>
          <w:bCs/>
          <w:sz w:val="20"/>
          <w:szCs w:val="20"/>
        </w:rPr>
        <w:t>AGILE were eligible for entry into the OLE. All OLE patients received BKZ 160</w:t>
      </w:r>
      <w:r w:rsidR="00CD31E3">
        <w:rPr>
          <w:bCs/>
          <w:sz w:val="20"/>
          <w:szCs w:val="20"/>
        </w:rPr>
        <w:t xml:space="preserve"> </w:t>
      </w:r>
      <w:r w:rsidRPr="00D90377">
        <w:rPr>
          <w:bCs/>
          <w:sz w:val="20"/>
          <w:szCs w:val="20"/>
        </w:rPr>
        <w:t xml:space="preserve">mg </w:t>
      </w:r>
      <w:r w:rsidR="00EC5853" w:rsidRPr="00D90377">
        <w:rPr>
          <w:bCs/>
          <w:sz w:val="20"/>
          <w:szCs w:val="20"/>
        </w:rPr>
        <w:t>every 4 w</w:t>
      </w:r>
      <w:r w:rsidR="00CD31E3">
        <w:rPr>
          <w:bCs/>
          <w:sz w:val="20"/>
          <w:szCs w:val="20"/>
        </w:rPr>
        <w:t>ee</w:t>
      </w:r>
      <w:r w:rsidR="00EC5853" w:rsidRPr="00D90377">
        <w:rPr>
          <w:bCs/>
          <w:sz w:val="20"/>
          <w:szCs w:val="20"/>
        </w:rPr>
        <w:t>ks (</w:t>
      </w:r>
      <w:r w:rsidRPr="00D90377">
        <w:rPr>
          <w:bCs/>
          <w:sz w:val="20"/>
          <w:szCs w:val="20"/>
        </w:rPr>
        <w:t>Q4W</w:t>
      </w:r>
      <w:r w:rsidR="00EC5853" w:rsidRPr="00D90377">
        <w:rPr>
          <w:bCs/>
          <w:sz w:val="20"/>
          <w:szCs w:val="20"/>
        </w:rPr>
        <w:t>)</w:t>
      </w:r>
      <w:r w:rsidR="00055FC5">
        <w:rPr>
          <w:bCs/>
          <w:sz w:val="20"/>
          <w:szCs w:val="20"/>
        </w:rPr>
        <w:t>.</w:t>
      </w:r>
      <w:r w:rsidRPr="00D90377">
        <w:rPr>
          <w:bCs/>
          <w:sz w:val="20"/>
          <w:szCs w:val="20"/>
        </w:rPr>
        <w:t xml:space="preserve"> </w:t>
      </w:r>
      <w:r w:rsidR="00284738" w:rsidRPr="00D90377">
        <w:rPr>
          <w:bCs/>
          <w:sz w:val="20"/>
          <w:szCs w:val="20"/>
        </w:rPr>
        <w:t xml:space="preserve">Efficacy and safety outcomes </w:t>
      </w:r>
      <w:r w:rsidRPr="00D90377">
        <w:rPr>
          <w:bCs/>
          <w:sz w:val="20"/>
          <w:szCs w:val="20"/>
        </w:rPr>
        <w:t xml:space="preserve">are presented from </w:t>
      </w:r>
      <w:r w:rsidR="003143BC" w:rsidRPr="00D90377">
        <w:rPr>
          <w:bCs/>
          <w:sz w:val="20"/>
          <w:szCs w:val="20"/>
        </w:rPr>
        <w:t>BE</w:t>
      </w:r>
      <w:r w:rsidR="00871411" w:rsidRPr="00D90377">
        <w:rPr>
          <w:bCs/>
          <w:sz w:val="20"/>
          <w:szCs w:val="20"/>
        </w:rPr>
        <w:t xml:space="preserve"> </w:t>
      </w:r>
      <w:r w:rsidR="003143BC" w:rsidRPr="00D90377">
        <w:rPr>
          <w:bCs/>
          <w:sz w:val="20"/>
          <w:szCs w:val="20"/>
        </w:rPr>
        <w:t>AGILE</w:t>
      </w:r>
      <w:r w:rsidRPr="00D90377">
        <w:rPr>
          <w:bCs/>
          <w:sz w:val="20"/>
          <w:szCs w:val="20"/>
        </w:rPr>
        <w:t xml:space="preserve"> baseline to </w:t>
      </w:r>
      <w:r w:rsidR="001B0F99" w:rsidRPr="00D90377">
        <w:rPr>
          <w:bCs/>
          <w:sz w:val="20"/>
          <w:szCs w:val="20"/>
        </w:rPr>
        <w:t>W</w:t>
      </w:r>
      <w:r w:rsidR="00CD31E3">
        <w:rPr>
          <w:bCs/>
          <w:sz w:val="20"/>
          <w:szCs w:val="20"/>
        </w:rPr>
        <w:t>ee</w:t>
      </w:r>
      <w:r w:rsidR="001B0F99" w:rsidRPr="00D90377">
        <w:rPr>
          <w:bCs/>
          <w:sz w:val="20"/>
          <w:szCs w:val="20"/>
        </w:rPr>
        <w:t>k</w:t>
      </w:r>
      <w:r w:rsidR="00CD31E3">
        <w:rPr>
          <w:bCs/>
          <w:sz w:val="20"/>
          <w:szCs w:val="20"/>
        </w:rPr>
        <w:t xml:space="preserve"> </w:t>
      </w:r>
      <w:r w:rsidR="001B0F99" w:rsidRPr="00D90377">
        <w:rPr>
          <w:bCs/>
          <w:sz w:val="20"/>
          <w:szCs w:val="20"/>
        </w:rPr>
        <w:t>96</w:t>
      </w:r>
      <w:r w:rsidRPr="00D90377">
        <w:rPr>
          <w:bCs/>
          <w:sz w:val="20"/>
          <w:szCs w:val="20"/>
        </w:rPr>
        <w:t xml:space="preserve">. Efficacy </w:t>
      </w:r>
      <w:r w:rsidRPr="00D90377">
        <w:rPr>
          <w:sz w:val="20"/>
          <w:szCs w:val="20"/>
        </w:rPr>
        <w:t>outcomes</w:t>
      </w:r>
      <w:r w:rsidR="005F46C0" w:rsidRPr="00D90377">
        <w:rPr>
          <w:sz w:val="20"/>
          <w:szCs w:val="20"/>
        </w:rPr>
        <w:t xml:space="preserve"> </w:t>
      </w:r>
      <w:r w:rsidR="002D7949" w:rsidRPr="00D90377">
        <w:rPr>
          <w:sz w:val="20"/>
          <w:szCs w:val="20"/>
        </w:rPr>
        <w:t xml:space="preserve">are </w:t>
      </w:r>
      <w:r w:rsidR="005F46C0" w:rsidRPr="00D90377">
        <w:rPr>
          <w:sz w:val="20"/>
          <w:szCs w:val="20"/>
        </w:rPr>
        <w:t>reported</w:t>
      </w:r>
      <w:r w:rsidR="00B274D7" w:rsidRPr="00D90377">
        <w:rPr>
          <w:sz w:val="20"/>
          <w:szCs w:val="20"/>
        </w:rPr>
        <w:t xml:space="preserve"> for the </w:t>
      </w:r>
      <w:r w:rsidR="002D7949" w:rsidRPr="00D90377">
        <w:rPr>
          <w:sz w:val="20"/>
          <w:szCs w:val="20"/>
        </w:rPr>
        <w:t xml:space="preserve">OLE </w:t>
      </w:r>
      <w:r w:rsidR="00B274D7" w:rsidRPr="00D90377">
        <w:rPr>
          <w:sz w:val="20"/>
          <w:szCs w:val="20"/>
        </w:rPr>
        <w:t>Full Analysis Set</w:t>
      </w:r>
      <w:r w:rsidR="002D7949" w:rsidRPr="00D90377">
        <w:rPr>
          <w:sz w:val="20"/>
          <w:szCs w:val="20"/>
        </w:rPr>
        <w:t xml:space="preserve"> </w:t>
      </w:r>
      <w:r w:rsidR="004C6ECC" w:rsidRPr="00D90377">
        <w:rPr>
          <w:sz w:val="20"/>
          <w:szCs w:val="20"/>
        </w:rPr>
        <w:t>(</w:t>
      </w:r>
      <w:r w:rsidR="00D84D24">
        <w:rPr>
          <w:sz w:val="20"/>
          <w:szCs w:val="20"/>
        </w:rPr>
        <w:t xml:space="preserve">FAS; </w:t>
      </w:r>
      <w:r w:rsidR="004C6ECC" w:rsidRPr="00D90377">
        <w:rPr>
          <w:sz w:val="20"/>
          <w:szCs w:val="20"/>
        </w:rPr>
        <w:t xml:space="preserve">patients who </w:t>
      </w:r>
      <w:r w:rsidR="002D7949" w:rsidRPr="00D90377">
        <w:rPr>
          <w:sz w:val="20"/>
          <w:szCs w:val="20"/>
        </w:rPr>
        <w:t xml:space="preserve">had </w:t>
      </w:r>
      <w:r w:rsidR="004C6ECC" w:rsidRPr="00D90377">
        <w:rPr>
          <w:sz w:val="20"/>
          <w:szCs w:val="20"/>
        </w:rPr>
        <w:t xml:space="preserve">≥1 dose </w:t>
      </w:r>
      <w:r w:rsidR="00B3508D" w:rsidRPr="00D90377">
        <w:rPr>
          <w:sz w:val="20"/>
          <w:szCs w:val="20"/>
        </w:rPr>
        <w:t xml:space="preserve">BKZ </w:t>
      </w:r>
      <w:r w:rsidR="004C6ECC" w:rsidRPr="00D90377">
        <w:rPr>
          <w:sz w:val="20"/>
          <w:szCs w:val="20"/>
        </w:rPr>
        <w:t>and ≥1 valid efficacy variable measurement</w:t>
      </w:r>
      <w:r w:rsidR="00ED5C64" w:rsidRPr="00D90377">
        <w:rPr>
          <w:sz w:val="20"/>
          <w:szCs w:val="20"/>
        </w:rPr>
        <w:t xml:space="preserve"> since </w:t>
      </w:r>
      <w:r w:rsidR="007F2982">
        <w:rPr>
          <w:sz w:val="20"/>
          <w:szCs w:val="20"/>
        </w:rPr>
        <w:t xml:space="preserve">OLE </w:t>
      </w:r>
      <w:r w:rsidR="00ED5C64" w:rsidRPr="00D90377">
        <w:rPr>
          <w:sz w:val="20"/>
          <w:szCs w:val="20"/>
        </w:rPr>
        <w:t>entry</w:t>
      </w:r>
      <w:r w:rsidR="004C6ECC" w:rsidRPr="00D90377">
        <w:rPr>
          <w:sz w:val="20"/>
          <w:szCs w:val="20"/>
        </w:rPr>
        <w:t>)</w:t>
      </w:r>
      <w:r w:rsidR="00055FC5">
        <w:rPr>
          <w:sz w:val="20"/>
          <w:szCs w:val="20"/>
        </w:rPr>
        <w:t>.</w:t>
      </w:r>
      <w:r w:rsidR="002D7949" w:rsidRPr="00D90377">
        <w:rPr>
          <w:sz w:val="20"/>
          <w:szCs w:val="20"/>
        </w:rPr>
        <w:t xml:space="preserve"> Missing data were imputed using</w:t>
      </w:r>
      <w:r w:rsidRPr="00D90377">
        <w:rPr>
          <w:sz w:val="20"/>
          <w:szCs w:val="20"/>
        </w:rPr>
        <w:t xml:space="preserve"> </w:t>
      </w:r>
      <w:r w:rsidR="002D7949" w:rsidRPr="00D90377">
        <w:rPr>
          <w:sz w:val="20"/>
          <w:szCs w:val="20"/>
        </w:rPr>
        <w:t>n</w:t>
      </w:r>
      <w:r w:rsidR="00510179" w:rsidRPr="00D90377">
        <w:rPr>
          <w:sz w:val="20"/>
          <w:szCs w:val="20"/>
        </w:rPr>
        <w:t xml:space="preserve">on-responder imputation </w:t>
      </w:r>
      <w:r w:rsidR="002D7949" w:rsidRPr="00D90377">
        <w:rPr>
          <w:sz w:val="20"/>
          <w:szCs w:val="20"/>
        </w:rPr>
        <w:t>(</w:t>
      </w:r>
      <w:r w:rsidR="00510179" w:rsidRPr="00D90377">
        <w:rPr>
          <w:sz w:val="20"/>
          <w:szCs w:val="20"/>
        </w:rPr>
        <w:t>binary variables</w:t>
      </w:r>
      <w:r w:rsidR="002D7949" w:rsidRPr="00D90377">
        <w:rPr>
          <w:sz w:val="20"/>
          <w:szCs w:val="20"/>
        </w:rPr>
        <w:t>) or</w:t>
      </w:r>
      <w:r w:rsidR="00510179" w:rsidRPr="00D90377">
        <w:rPr>
          <w:sz w:val="20"/>
          <w:szCs w:val="20"/>
        </w:rPr>
        <w:t xml:space="preserve"> multiple imputation </w:t>
      </w:r>
      <w:r w:rsidR="002D7949" w:rsidRPr="00D90377">
        <w:rPr>
          <w:sz w:val="20"/>
          <w:szCs w:val="20"/>
        </w:rPr>
        <w:t>(</w:t>
      </w:r>
      <w:r w:rsidR="00510179" w:rsidRPr="00D90377">
        <w:rPr>
          <w:sz w:val="20"/>
          <w:szCs w:val="20"/>
        </w:rPr>
        <w:t>continuous variables</w:t>
      </w:r>
      <w:r w:rsidR="002D7949" w:rsidRPr="00D90377">
        <w:rPr>
          <w:sz w:val="20"/>
          <w:szCs w:val="20"/>
        </w:rPr>
        <w:t>)</w:t>
      </w:r>
      <w:r w:rsidR="00510179" w:rsidRPr="00D90377">
        <w:rPr>
          <w:sz w:val="20"/>
          <w:szCs w:val="20"/>
        </w:rPr>
        <w:t xml:space="preserve">. </w:t>
      </w:r>
      <w:r w:rsidR="007040F1">
        <w:rPr>
          <w:sz w:val="20"/>
          <w:szCs w:val="20"/>
        </w:rPr>
        <w:t>The exposure-adjusted incidence rates (EAIR) per 100 patient-years (PY) for t</w:t>
      </w:r>
      <w:r w:rsidRPr="00D90377">
        <w:rPr>
          <w:sz w:val="20"/>
          <w:szCs w:val="20"/>
        </w:rPr>
        <w:t>reatment-emergent adverse events (TEAEs)</w:t>
      </w:r>
      <w:r w:rsidR="00C87C29" w:rsidRPr="00D90377">
        <w:rPr>
          <w:sz w:val="20"/>
          <w:szCs w:val="20"/>
        </w:rPr>
        <w:t xml:space="preserve"> </w:t>
      </w:r>
      <w:r w:rsidR="00D84D24">
        <w:rPr>
          <w:sz w:val="20"/>
          <w:szCs w:val="20"/>
        </w:rPr>
        <w:t xml:space="preserve">are </w:t>
      </w:r>
      <w:r w:rsidRPr="00D90377">
        <w:rPr>
          <w:sz w:val="20"/>
          <w:szCs w:val="20"/>
        </w:rPr>
        <w:t xml:space="preserve">reported </w:t>
      </w:r>
      <w:r w:rsidR="000807CB" w:rsidRPr="00D90377">
        <w:rPr>
          <w:sz w:val="20"/>
          <w:szCs w:val="20"/>
        </w:rPr>
        <w:t xml:space="preserve">separately </w:t>
      </w:r>
      <w:r w:rsidRPr="00D90377">
        <w:rPr>
          <w:sz w:val="20"/>
          <w:szCs w:val="20"/>
        </w:rPr>
        <w:t xml:space="preserve">for </w:t>
      </w:r>
      <w:r w:rsidR="000807CB" w:rsidRPr="00D90377">
        <w:rPr>
          <w:sz w:val="20"/>
          <w:szCs w:val="20"/>
        </w:rPr>
        <w:t xml:space="preserve">the BE AGILE </w:t>
      </w:r>
      <w:r w:rsidR="00055FC5">
        <w:rPr>
          <w:sz w:val="20"/>
          <w:szCs w:val="20"/>
        </w:rPr>
        <w:t xml:space="preserve">and OLE </w:t>
      </w:r>
      <w:r w:rsidR="000807CB" w:rsidRPr="00D90377">
        <w:rPr>
          <w:sz w:val="20"/>
          <w:szCs w:val="20"/>
        </w:rPr>
        <w:t>Safety Set</w:t>
      </w:r>
      <w:r w:rsidR="00055FC5">
        <w:rPr>
          <w:sz w:val="20"/>
          <w:szCs w:val="20"/>
        </w:rPr>
        <w:t>s</w:t>
      </w:r>
      <w:r w:rsidR="000807CB" w:rsidRPr="00D90377">
        <w:rPr>
          <w:sz w:val="20"/>
          <w:szCs w:val="20"/>
        </w:rPr>
        <w:t xml:space="preserve"> (</w:t>
      </w:r>
      <w:r w:rsidRPr="00D90377">
        <w:rPr>
          <w:sz w:val="20"/>
          <w:szCs w:val="20"/>
        </w:rPr>
        <w:t xml:space="preserve">patients who received ≥1 dose </w:t>
      </w:r>
      <w:r w:rsidR="00B3508D" w:rsidRPr="00D90377">
        <w:rPr>
          <w:sz w:val="20"/>
          <w:szCs w:val="20"/>
        </w:rPr>
        <w:t>BKZ</w:t>
      </w:r>
      <w:r w:rsidRPr="00D90377">
        <w:rPr>
          <w:sz w:val="20"/>
          <w:szCs w:val="20"/>
        </w:rPr>
        <w:t>).</w:t>
      </w:r>
      <w:bookmarkEnd w:id="1"/>
    </w:p>
    <w:bookmarkEnd w:id="2"/>
    <w:p w14:paraId="54CD52E3" w14:textId="6DD91964" w:rsidR="003516A4" w:rsidRPr="00D90377" w:rsidRDefault="003516A4" w:rsidP="00D90377">
      <w:pPr>
        <w:spacing w:after="0" w:line="240" w:lineRule="auto"/>
        <w:rPr>
          <w:sz w:val="20"/>
          <w:szCs w:val="20"/>
        </w:rPr>
      </w:pPr>
      <w:r w:rsidRPr="00D90377">
        <w:rPr>
          <w:b/>
          <w:sz w:val="20"/>
          <w:szCs w:val="20"/>
        </w:rPr>
        <w:t xml:space="preserve">Results: </w:t>
      </w:r>
      <w:bookmarkStart w:id="3" w:name="_Hlk30695550"/>
      <w:r w:rsidR="00EC5853" w:rsidRPr="00D90377">
        <w:rPr>
          <w:bCs/>
          <w:sz w:val="20"/>
          <w:szCs w:val="20"/>
        </w:rPr>
        <w:t>262/</w:t>
      </w:r>
      <w:r w:rsidRPr="00D90377">
        <w:rPr>
          <w:bCs/>
          <w:sz w:val="20"/>
          <w:szCs w:val="20"/>
        </w:rPr>
        <w:t>303</w:t>
      </w:r>
      <w:r w:rsidRPr="00D90377">
        <w:rPr>
          <w:sz w:val="20"/>
          <w:szCs w:val="20"/>
        </w:rPr>
        <w:t xml:space="preserve"> patients </w:t>
      </w:r>
      <w:r w:rsidR="00F05A6E" w:rsidRPr="00D90377">
        <w:rPr>
          <w:sz w:val="20"/>
          <w:szCs w:val="20"/>
        </w:rPr>
        <w:t xml:space="preserve">randomized </w:t>
      </w:r>
      <w:r w:rsidR="00EC5853" w:rsidRPr="00D90377">
        <w:rPr>
          <w:sz w:val="20"/>
          <w:szCs w:val="20"/>
        </w:rPr>
        <w:t xml:space="preserve">at </w:t>
      </w:r>
      <w:r w:rsidR="00F05A6E" w:rsidRPr="00D90377">
        <w:rPr>
          <w:sz w:val="20"/>
          <w:szCs w:val="20"/>
        </w:rPr>
        <w:t>BE</w:t>
      </w:r>
      <w:r w:rsidR="00EC5853" w:rsidRPr="00D90377">
        <w:rPr>
          <w:sz w:val="20"/>
          <w:szCs w:val="20"/>
        </w:rPr>
        <w:t xml:space="preserve"> </w:t>
      </w:r>
      <w:r w:rsidR="00F05A6E" w:rsidRPr="00D90377">
        <w:rPr>
          <w:sz w:val="20"/>
          <w:szCs w:val="20"/>
        </w:rPr>
        <w:t>AGILE</w:t>
      </w:r>
      <w:r w:rsidR="00EC5853" w:rsidRPr="00D90377">
        <w:rPr>
          <w:sz w:val="20"/>
          <w:szCs w:val="20"/>
        </w:rPr>
        <w:t xml:space="preserve"> baseline completed </w:t>
      </w:r>
      <w:r w:rsidR="00CD31E3">
        <w:rPr>
          <w:sz w:val="20"/>
          <w:szCs w:val="20"/>
        </w:rPr>
        <w:t xml:space="preserve">to </w:t>
      </w:r>
      <w:r w:rsidR="00EC5853" w:rsidRPr="00D90377">
        <w:rPr>
          <w:sz w:val="20"/>
          <w:szCs w:val="20"/>
        </w:rPr>
        <w:t>W</w:t>
      </w:r>
      <w:r w:rsidR="00CD31E3">
        <w:rPr>
          <w:sz w:val="20"/>
          <w:szCs w:val="20"/>
        </w:rPr>
        <w:t>ee</w:t>
      </w:r>
      <w:r w:rsidR="00EC5853" w:rsidRPr="00D90377">
        <w:rPr>
          <w:sz w:val="20"/>
          <w:szCs w:val="20"/>
        </w:rPr>
        <w:t>k</w:t>
      </w:r>
      <w:r w:rsidR="00CD31E3">
        <w:rPr>
          <w:sz w:val="20"/>
          <w:szCs w:val="20"/>
        </w:rPr>
        <w:t xml:space="preserve"> </w:t>
      </w:r>
      <w:r w:rsidR="00EC5853" w:rsidRPr="00D90377">
        <w:rPr>
          <w:sz w:val="20"/>
          <w:szCs w:val="20"/>
        </w:rPr>
        <w:t>48</w:t>
      </w:r>
      <w:r w:rsidR="00CD31E3">
        <w:rPr>
          <w:sz w:val="20"/>
          <w:szCs w:val="20"/>
        </w:rPr>
        <w:t xml:space="preserve"> of treatment</w:t>
      </w:r>
      <w:r w:rsidR="00EC5853" w:rsidRPr="00D90377">
        <w:rPr>
          <w:sz w:val="20"/>
          <w:szCs w:val="20"/>
        </w:rPr>
        <w:t xml:space="preserve">, </w:t>
      </w:r>
      <w:r w:rsidR="00CD31E3">
        <w:rPr>
          <w:sz w:val="20"/>
          <w:szCs w:val="20"/>
        </w:rPr>
        <w:t>and</w:t>
      </w:r>
      <w:r w:rsidR="00665520" w:rsidRPr="00D90377">
        <w:rPr>
          <w:sz w:val="20"/>
          <w:szCs w:val="20"/>
        </w:rPr>
        <w:t xml:space="preserve"> 25</w:t>
      </w:r>
      <w:r w:rsidR="0026489A" w:rsidRPr="00D90377">
        <w:rPr>
          <w:sz w:val="20"/>
          <w:szCs w:val="20"/>
        </w:rPr>
        <w:t>4</w:t>
      </w:r>
      <w:r w:rsidR="00665520" w:rsidRPr="00D90377">
        <w:rPr>
          <w:sz w:val="20"/>
          <w:szCs w:val="20"/>
        </w:rPr>
        <w:t xml:space="preserve">/262 </w:t>
      </w:r>
      <w:r w:rsidR="0026489A" w:rsidRPr="00D90377">
        <w:rPr>
          <w:sz w:val="20"/>
          <w:szCs w:val="20"/>
        </w:rPr>
        <w:t>were included in the OLE F</w:t>
      </w:r>
      <w:r w:rsidR="00D84D24">
        <w:rPr>
          <w:sz w:val="20"/>
          <w:szCs w:val="20"/>
        </w:rPr>
        <w:t>AS</w:t>
      </w:r>
      <w:r w:rsidR="001724AF">
        <w:rPr>
          <w:sz w:val="20"/>
          <w:szCs w:val="20"/>
        </w:rPr>
        <w:t>.</w:t>
      </w:r>
      <w:r w:rsidR="0019230A" w:rsidRPr="00D90377">
        <w:rPr>
          <w:sz w:val="20"/>
          <w:szCs w:val="20"/>
        </w:rPr>
        <w:t xml:space="preserve"> </w:t>
      </w:r>
      <w:r w:rsidRPr="00D90377">
        <w:rPr>
          <w:sz w:val="20"/>
          <w:szCs w:val="20"/>
        </w:rPr>
        <w:t>130</w:t>
      </w:r>
      <w:r w:rsidR="007040F1">
        <w:rPr>
          <w:sz w:val="20"/>
          <w:szCs w:val="20"/>
        </w:rPr>
        <w:t>/254</w:t>
      </w:r>
      <w:r w:rsidRPr="00D90377">
        <w:rPr>
          <w:sz w:val="20"/>
          <w:szCs w:val="20"/>
        </w:rPr>
        <w:t xml:space="preserve"> </w:t>
      </w:r>
      <w:r w:rsidR="00336FDE" w:rsidRPr="00D90377">
        <w:rPr>
          <w:sz w:val="20"/>
          <w:szCs w:val="20"/>
        </w:rPr>
        <w:t xml:space="preserve">continued </w:t>
      </w:r>
      <w:r w:rsidRPr="00D90377">
        <w:rPr>
          <w:sz w:val="20"/>
          <w:szCs w:val="20"/>
        </w:rPr>
        <w:t>on BKZ 160</w:t>
      </w:r>
      <w:r w:rsidR="00CD31E3">
        <w:rPr>
          <w:sz w:val="20"/>
          <w:szCs w:val="20"/>
        </w:rPr>
        <w:t xml:space="preserve"> </w:t>
      </w:r>
      <w:r w:rsidRPr="00D90377">
        <w:rPr>
          <w:sz w:val="20"/>
          <w:szCs w:val="20"/>
        </w:rPr>
        <w:t>mg Q4W and 12</w:t>
      </w:r>
      <w:r w:rsidR="0026489A" w:rsidRPr="00D90377">
        <w:rPr>
          <w:sz w:val="20"/>
          <w:szCs w:val="20"/>
        </w:rPr>
        <w:t>4</w:t>
      </w:r>
      <w:r w:rsidR="007040F1">
        <w:rPr>
          <w:sz w:val="20"/>
          <w:szCs w:val="20"/>
        </w:rPr>
        <w:t>/254</w:t>
      </w:r>
      <w:r w:rsidRPr="00D90377">
        <w:rPr>
          <w:sz w:val="20"/>
          <w:szCs w:val="20"/>
        </w:rPr>
        <w:t xml:space="preserve"> dose-reduced from BKZ 320</w:t>
      </w:r>
      <w:r w:rsidR="00CD31E3">
        <w:rPr>
          <w:sz w:val="20"/>
          <w:szCs w:val="20"/>
        </w:rPr>
        <w:t xml:space="preserve"> </w:t>
      </w:r>
      <w:r w:rsidRPr="00D90377">
        <w:rPr>
          <w:sz w:val="20"/>
          <w:szCs w:val="20"/>
        </w:rPr>
        <w:t xml:space="preserve">mg Q4W. </w:t>
      </w:r>
      <w:r w:rsidR="00F17523" w:rsidRPr="00D90377">
        <w:rPr>
          <w:sz w:val="20"/>
          <w:szCs w:val="20"/>
        </w:rPr>
        <w:t>238</w:t>
      </w:r>
      <w:r w:rsidR="007040F1">
        <w:rPr>
          <w:sz w:val="20"/>
          <w:szCs w:val="20"/>
        </w:rPr>
        <w:t>/254</w:t>
      </w:r>
      <w:r w:rsidR="0019230A" w:rsidRPr="00D90377">
        <w:rPr>
          <w:sz w:val="20"/>
          <w:szCs w:val="20"/>
        </w:rPr>
        <w:t xml:space="preserve"> </w:t>
      </w:r>
      <w:r w:rsidR="00822B52" w:rsidRPr="00D90377">
        <w:rPr>
          <w:sz w:val="20"/>
          <w:szCs w:val="20"/>
        </w:rPr>
        <w:t xml:space="preserve">had an efficacy assessment at </w:t>
      </w:r>
      <w:r w:rsidR="0019230A" w:rsidRPr="00D90377">
        <w:rPr>
          <w:sz w:val="20"/>
          <w:szCs w:val="20"/>
        </w:rPr>
        <w:t>W</w:t>
      </w:r>
      <w:r w:rsidR="00CD31E3">
        <w:rPr>
          <w:sz w:val="20"/>
          <w:szCs w:val="20"/>
        </w:rPr>
        <w:t>ee</w:t>
      </w:r>
      <w:r w:rsidR="0019230A" w:rsidRPr="00D90377">
        <w:rPr>
          <w:sz w:val="20"/>
          <w:szCs w:val="20"/>
        </w:rPr>
        <w:t>k</w:t>
      </w:r>
      <w:r w:rsidR="00CD31E3">
        <w:rPr>
          <w:sz w:val="20"/>
          <w:szCs w:val="20"/>
        </w:rPr>
        <w:t xml:space="preserve"> </w:t>
      </w:r>
      <w:r w:rsidR="0019230A" w:rsidRPr="00D90377">
        <w:rPr>
          <w:sz w:val="20"/>
          <w:szCs w:val="20"/>
        </w:rPr>
        <w:t>96. In BE AGILE, r</w:t>
      </w:r>
      <w:r w:rsidRPr="00D90377">
        <w:rPr>
          <w:sz w:val="20"/>
          <w:szCs w:val="20"/>
        </w:rPr>
        <w:t>apid</w:t>
      </w:r>
      <w:r w:rsidR="00446883" w:rsidRPr="00D90377">
        <w:rPr>
          <w:sz w:val="20"/>
          <w:szCs w:val="20"/>
        </w:rPr>
        <w:t xml:space="preserve"> improvements</w:t>
      </w:r>
      <w:r w:rsidRPr="00D90377">
        <w:rPr>
          <w:sz w:val="20"/>
          <w:szCs w:val="20"/>
        </w:rPr>
        <w:t xml:space="preserve"> </w:t>
      </w:r>
      <w:r w:rsidR="00446883" w:rsidRPr="00D90377">
        <w:rPr>
          <w:sz w:val="20"/>
          <w:szCs w:val="20"/>
        </w:rPr>
        <w:t xml:space="preserve">in efficacy outcomes were observed in BKZ-treated patients </w:t>
      </w:r>
      <w:r w:rsidR="00E71116" w:rsidRPr="00D90377">
        <w:rPr>
          <w:sz w:val="20"/>
          <w:szCs w:val="20"/>
        </w:rPr>
        <w:t xml:space="preserve">at </w:t>
      </w:r>
      <w:r w:rsidR="00446883" w:rsidRPr="00D90377">
        <w:rPr>
          <w:sz w:val="20"/>
          <w:szCs w:val="20"/>
        </w:rPr>
        <w:t>W</w:t>
      </w:r>
      <w:r w:rsidR="00CD31E3">
        <w:rPr>
          <w:sz w:val="20"/>
          <w:szCs w:val="20"/>
        </w:rPr>
        <w:t>ee</w:t>
      </w:r>
      <w:r w:rsidR="00446883" w:rsidRPr="00D90377">
        <w:rPr>
          <w:sz w:val="20"/>
          <w:szCs w:val="20"/>
        </w:rPr>
        <w:t>k</w:t>
      </w:r>
      <w:r w:rsidR="00CD31E3">
        <w:rPr>
          <w:sz w:val="20"/>
          <w:szCs w:val="20"/>
        </w:rPr>
        <w:t xml:space="preserve"> </w:t>
      </w:r>
      <w:r w:rsidR="00BD18B6" w:rsidRPr="00D90377">
        <w:rPr>
          <w:sz w:val="20"/>
          <w:szCs w:val="20"/>
        </w:rPr>
        <w:t xml:space="preserve">12; these </w:t>
      </w:r>
      <w:r w:rsidR="00EB0706" w:rsidRPr="00D90377">
        <w:rPr>
          <w:sz w:val="20"/>
          <w:szCs w:val="20"/>
        </w:rPr>
        <w:t>increased to W</w:t>
      </w:r>
      <w:r w:rsidR="00CD31E3">
        <w:rPr>
          <w:sz w:val="20"/>
          <w:szCs w:val="20"/>
        </w:rPr>
        <w:t>ee</w:t>
      </w:r>
      <w:r w:rsidR="00EB0706" w:rsidRPr="00D90377">
        <w:rPr>
          <w:sz w:val="20"/>
          <w:szCs w:val="20"/>
        </w:rPr>
        <w:t>k</w:t>
      </w:r>
      <w:r w:rsidR="00CD31E3">
        <w:rPr>
          <w:sz w:val="20"/>
          <w:szCs w:val="20"/>
        </w:rPr>
        <w:t xml:space="preserve"> </w:t>
      </w:r>
      <w:r w:rsidR="00EB0706" w:rsidRPr="00D90377">
        <w:rPr>
          <w:sz w:val="20"/>
          <w:szCs w:val="20"/>
        </w:rPr>
        <w:t xml:space="preserve">48 and </w:t>
      </w:r>
      <w:r w:rsidR="00BD18B6" w:rsidRPr="00D90377">
        <w:rPr>
          <w:sz w:val="20"/>
          <w:szCs w:val="20"/>
        </w:rPr>
        <w:t xml:space="preserve">were </w:t>
      </w:r>
      <w:r w:rsidRPr="00D90377">
        <w:rPr>
          <w:sz w:val="20"/>
          <w:szCs w:val="20"/>
        </w:rPr>
        <w:t>maintained during the OLE (</w:t>
      </w:r>
      <w:r w:rsidR="001724AF">
        <w:rPr>
          <w:b/>
          <w:bCs/>
          <w:sz w:val="20"/>
          <w:szCs w:val="20"/>
        </w:rPr>
        <w:t>Table</w:t>
      </w:r>
      <w:r w:rsidR="001724AF" w:rsidRPr="00D90377">
        <w:rPr>
          <w:b/>
          <w:bCs/>
          <w:sz w:val="20"/>
          <w:szCs w:val="20"/>
        </w:rPr>
        <w:t xml:space="preserve"> </w:t>
      </w:r>
      <w:r w:rsidR="002A6CDE" w:rsidRPr="00D90377">
        <w:rPr>
          <w:b/>
          <w:bCs/>
          <w:sz w:val="20"/>
          <w:szCs w:val="20"/>
        </w:rPr>
        <w:t>1</w:t>
      </w:r>
      <w:r w:rsidR="001724AF">
        <w:rPr>
          <w:b/>
          <w:bCs/>
          <w:sz w:val="20"/>
          <w:szCs w:val="20"/>
        </w:rPr>
        <w:t>/2</w:t>
      </w:r>
      <w:r w:rsidRPr="00D90377">
        <w:rPr>
          <w:sz w:val="20"/>
          <w:szCs w:val="20"/>
        </w:rPr>
        <w:t xml:space="preserve">). </w:t>
      </w:r>
      <w:r w:rsidR="0058768D" w:rsidRPr="00D90377">
        <w:rPr>
          <w:sz w:val="20"/>
          <w:szCs w:val="20"/>
        </w:rPr>
        <w:t>R</w:t>
      </w:r>
      <w:r w:rsidR="00E80E7A" w:rsidRPr="00D90377">
        <w:rPr>
          <w:sz w:val="20"/>
          <w:szCs w:val="20"/>
        </w:rPr>
        <w:t xml:space="preserve">esponses were </w:t>
      </w:r>
      <w:r w:rsidR="0058768D" w:rsidRPr="00D90377">
        <w:rPr>
          <w:sz w:val="20"/>
          <w:szCs w:val="20"/>
        </w:rPr>
        <w:t xml:space="preserve">similar </w:t>
      </w:r>
      <w:r w:rsidR="00E80E7A" w:rsidRPr="00D90377">
        <w:rPr>
          <w:sz w:val="20"/>
          <w:szCs w:val="20"/>
        </w:rPr>
        <w:t>for patients on BKZ 160</w:t>
      </w:r>
      <w:r w:rsidR="00CD31E3">
        <w:rPr>
          <w:sz w:val="20"/>
          <w:szCs w:val="20"/>
        </w:rPr>
        <w:t xml:space="preserve"> </w:t>
      </w:r>
      <w:r w:rsidR="00E80E7A" w:rsidRPr="00D90377">
        <w:rPr>
          <w:sz w:val="20"/>
          <w:szCs w:val="20"/>
        </w:rPr>
        <w:t>mg and 320</w:t>
      </w:r>
      <w:r w:rsidR="00CD31E3">
        <w:rPr>
          <w:sz w:val="20"/>
          <w:szCs w:val="20"/>
        </w:rPr>
        <w:t xml:space="preserve"> </w:t>
      </w:r>
      <w:r w:rsidR="00E80E7A" w:rsidRPr="00D90377">
        <w:rPr>
          <w:sz w:val="20"/>
          <w:szCs w:val="20"/>
        </w:rPr>
        <w:t>mg</w:t>
      </w:r>
      <w:r w:rsidR="00F34268" w:rsidRPr="00D90377">
        <w:rPr>
          <w:sz w:val="20"/>
          <w:szCs w:val="20"/>
        </w:rPr>
        <w:t xml:space="preserve"> at W</w:t>
      </w:r>
      <w:r w:rsidR="00CD31E3">
        <w:rPr>
          <w:sz w:val="20"/>
          <w:szCs w:val="20"/>
        </w:rPr>
        <w:t>ee</w:t>
      </w:r>
      <w:r w:rsidR="00F34268" w:rsidRPr="00D90377">
        <w:rPr>
          <w:sz w:val="20"/>
          <w:szCs w:val="20"/>
        </w:rPr>
        <w:t>k</w:t>
      </w:r>
      <w:r w:rsidR="00CD31E3">
        <w:rPr>
          <w:sz w:val="20"/>
          <w:szCs w:val="20"/>
        </w:rPr>
        <w:t xml:space="preserve"> </w:t>
      </w:r>
      <w:r w:rsidR="00F34268" w:rsidRPr="00D90377">
        <w:rPr>
          <w:sz w:val="20"/>
          <w:szCs w:val="20"/>
        </w:rPr>
        <w:t>48</w:t>
      </w:r>
      <w:r w:rsidR="00534001" w:rsidRPr="00D90377">
        <w:rPr>
          <w:sz w:val="20"/>
          <w:szCs w:val="20"/>
        </w:rPr>
        <w:t xml:space="preserve"> </w:t>
      </w:r>
      <w:r w:rsidR="00F34268" w:rsidRPr="00D90377">
        <w:rPr>
          <w:sz w:val="20"/>
          <w:szCs w:val="20"/>
        </w:rPr>
        <w:t xml:space="preserve">and </w:t>
      </w:r>
      <w:r w:rsidR="00534001" w:rsidRPr="00D90377">
        <w:rPr>
          <w:sz w:val="20"/>
          <w:szCs w:val="20"/>
        </w:rPr>
        <w:t xml:space="preserve">remained </w:t>
      </w:r>
      <w:r w:rsidR="0019230A" w:rsidRPr="00D90377">
        <w:rPr>
          <w:sz w:val="20"/>
          <w:szCs w:val="20"/>
        </w:rPr>
        <w:t xml:space="preserve">similar </w:t>
      </w:r>
      <w:r w:rsidR="00F34268" w:rsidRPr="00D90377">
        <w:rPr>
          <w:sz w:val="20"/>
          <w:szCs w:val="20"/>
        </w:rPr>
        <w:t>to W</w:t>
      </w:r>
      <w:r w:rsidR="00CD31E3">
        <w:rPr>
          <w:sz w:val="20"/>
          <w:szCs w:val="20"/>
        </w:rPr>
        <w:t>ee</w:t>
      </w:r>
      <w:r w:rsidR="00F34268" w:rsidRPr="00D90377">
        <w:rPr>
          <w:sz w:val="20"/>
          <w:szCs w:val="20"/>
        </w:rPr>
        <w:t>k</w:t>
      </w:r>
      <w:r w:rsidR="00CD31E3">
        <w:rPr>
          <w:sz w:val="20"/>
          <w:szCs w:val="20"/>
        </w:rPr>
        <w:t xml:space="preserve"> </w:t>
      </w:r>
      <w:r w:rsidR="00F34268" w:rsidRPr="00D90377">
        <w:rPr>
          <w:sz w:val="20"/>
          <w:szCs w:val="20"/>
        </w:rPr>
        <w:t>96</w:t>
      </w:r>
      <w:r w:rsidR="001724AF">
        <w:rPr>
          <w:sz w:val="20"/>
          <w:szCs w:val="20"/>
        </w:rPr>
        <w:t xml:space="preserve"> irrespective of prior dose regimen</w:t>
      </w:r>
      <w:r w:rsidR="00F34268" w:rsidRPr="00D90377">
        <w:rPr>
          <w:sz w:val="20"/>
          <w:szCs w:val="20"/>
        </w:rPr>
        <w:t xml:space="preserve"> </w:t>
      </w:r>
      <w:r w:rsidR="00027BCA" w:rsidRPr="00D90377">
        <w:rPr>
          <w:sz w:val="20"/>
          <w:szCs w:val="20"/>
        </w:rPr>
        <w:t>(</w:t>
      </w:r>
      <w:r w:rsidR="001724AF">
        <w:rPr>
          <w:b/>
          <w:bCs/>
          <w:sz w:val="20"/>
          <w:szCs w:val="20"/>
        </w:rPr>
        <w:t>Table</w:t>
      </w:r>
      <w:r w:rsidR="001724AF" w:rsidRPr="00D90377">
        <w:rPr>
          <w:b/>
          <w:bCs/>
          <w:sz w:val="20"/>
          <w:szCs w:val="20"/>
        </w:rPr>
        <w:t xml:space="preserve"> </w:t>
      </w:r>
      <w:r w:rsidR="00027BCA" w:rsidRPr="00D90377">
        <w:rPr>
          <w:b/>
          <w:bCs/>
          <w:sz w:val="20"/>
          <w:szCs w:val="20"/>
        </w:rPr>
        <w:t>1</w:t>
      </w:r>
      <w:r w:rsidR="001724AF">
        <w:rPr>
          <w:b/>
          <w:bCs/>
          <w:sz w:val="20"/>
          <w:szCs w:val="20"/>
        </w:rPr>
        <w:t>/2</w:t>
      </w:r>
      <w:r w:rsidR="00027BCA" w:rsidRPr="00D90377">
        <w:rPr>
          <w:sz w:val="20"/>
          <w:szCs w:val="20"/>
        </w:rPr>
        <w:t>)</w:t>
      </w:r>
      <w:r w:rsidR="00D654A8" w:rsidRPr="00D90377">
        <w:rPr>
          <w:sz w:val="20"/>
          <w:szCs w:val="20"/>
        </w:rPr>
        <w:t xml:space="preserve">. </w:t>
      </w:r>
      <w:bookmarkEnd w:id="3"/>
      <w:r w:rsidR="006011E0" w:rsidRPr="00D90377">
        <w:rPr>
          <w:sz w:val="20"/>
          <w:szCs w:val="20"/>
        </w:rPr>
        <w:t>The</w:t>
      </w:r>
      <w:r w:rsidR="007040F1">
        <w:rPr>
          <w:sz w:val="20"/>
          <w:szCs w:val="20"/>
        </w:rPr>
        <w:t xml:space="preserve"> </w:t>
      </w:r>
      <w:r w:rsidR="00115812" w:rsidRPr="00D90377">
        <w:rPr>
          <w:sz w:val="20"/>
          <w:szCs w:val="20"/>
        </w:rPr>
        <w:t>EAIR</w:t>
      </w:r>
      <w:r w:rsidR="007040F1">
        <w:rPr>
          <w:sz w:val="20"/>
          <w:szCs w:val="20"/>
        </w:rPr>
        <w:t xml:space="preserve"> of TEAEs </w:t>
      </w:r>
      <w:r w:rsidR="006011E0" w:rsidRPr="00D90377">
        <w:rPr>
          <w:sz w:val="20"/>
          <w:szCs w:val="20"/>
        </w:rPr>
        <w:t>was 186.2</w:t>
      </w:r>
      <w:r w:rsidR="007040F1">
        <w:rPr>
          <w:sz w:val="20"/>
          <w:szCs w:val="20"/>
        </w:rPr>
        <w:t>/100PY</w:t>
      </w:r>
      <w:r w:rsidR="00115812" w:rsidRPr="00D90377">
        <w:rPr>
          <w:sz w:val="20"/>
          <w:szCs w:val="20"/>
        </w:rPr>
        <w:t xml:space="preserve"> </w:t>
      </w:r>
      <w:r w:rsidR="006011E0" w:rsidRPr="00D90377">
        <w:rPr>
          <w:sz w:val="20"/>
          <w:szCs w:val="20"/>
        </w:rPr>
        <w:t>in BE AGILE</w:t>
      </w:r>
      <w:r w:rsidR="00740F84" w:rsidRPr="00D90377">
        <w:rPr>
          <w:sz w:val="20"/>
          <w:szCs w:val="20"/>
        </w:rPr>
        <w:t xml:space="preserve"> </w:t>
      </w:r>
      <w:r w:rsidR="006011E0" w:rsidRPr="00D90377">
        <w:rPr>
          <w:sz w:val="20"/>
          <w:szCs w:val="20"/>
        </w:rPr>
        <w:t>and 111.7</w:t>
      </w:r>
      <w:r w:rsidR="007040F1">
        <w:rPr>
          <w:sz w:val="20"/>
          <w:szCs w:val="20"/>
        </w:rPr>
        <w:t>/100PY</w:t>
      </w:r>
      <w:r w:rsidR="006011E0" w:rsidRPr="00D90377">
        <w:rPr>
          <w:sz w:val="20"/>
          <w:szCs w:val="20"/>
        </w:rPr>
        <w:t xml:space="preserve"> in the OLE</w:t>
      </w:r>
      <w:r w:rsidR="00152415">
        <w:rPr>
          <w:sz w:val="20"/>
          <w:szCs w:val="20"/>
        </w:rPr>
        <w:t>,</w:t>
      </w:r>
      <w:r w:rsidR="006011E0" w:rsidRPr="00D90377">
        <w:rPr>
          <w:sz w:val="20"/>
          <w:szCs w:val="20"/>
        </w:rPr>
        <w:t xml:space="preserve"> </w:t>
      </w:r>
      <w:r w:rsidR="00152415">
        <w:rPr>
          <w:sz w:val="20"/>
          <w:szCs w:val="20"/>
        </w:rPr>
        <w:t>and</w:t>
      </w:r>
      <w:r w:rsidR="006011E0" w:rsidRPr="00D90377">
        <w:rPr>
          <w:sz w:val="20"/>
          <w:szCs w:val="20"/>
        </w:rPr>
        <w:t xml:space="preserve"> 5.1</w:t>
      </w:r>
      <w:r w:rsidR="00115812" w:rsidRPr="00D90377">
        <w:rPr>
          <w:sz w:val="20"/>
          <w:szCs w:val="20"/>
        </w:rPr>
        <w:t xml:space="preserve"> </w:t>
      </w:r>
      <w:r w:rsidR="006011E0" w:rsidRPr="00D90377">
        <w:rPr>
          <w:sz w:val="20"/>
          <w:szCs w:val="20"/>
        </w:rPr>
        <w:t>and 6.1</w:t>
      </w:r>
      <w:r w:rsidR="007040F1">
        <w:rPr>
          <w:sz w:val="20"/>
          <w:szCs w:val="20"/>
        </w:rPr>
        <w:t>/100PY</w:t>
      </w:r>
      <w:r w:rsidR="00152415">
        <w:rPr>
          <w:sz w:val="20"/>
          <w:szCs w:val="20"/>
        </w:rPr>
        <w:t xml:space="preserve"> for serious TEAEs</w:t>
      </w:r>
      <w:r w:rsidR="006011E0" w:rsidRPr="00D90377">
        <w:rPr>
          <w:sz w:val="20"/>
          <w:szCs w:val="20"/>
        </w:rPr>
        <w:t xml:space="preserve">, </w:t>
      </w:r>
      <w:r w:rsidR="00E60B28" w:rsidRPr="00D90377">
        <w:rPr>
          <w:sz w:val="20"/>
          <w:szCs w:val="20"/>
        </w:rPr>
        <w:t>respectively.</w:t>
      </w:r>
    </w:p>
    <w:p w14:paraId="63F1C393" w14:textId="317A9B88" w:rsidR="003516A4" w:rsidRPr="00D90377" w:rsidRDefault="003516A4" w:rsidP="00D90377">
      <w:pPr>
        <w:spacing w:after="0" w:line="240" w:lineRule="auto"/>
        <w:rPr>
          <w:sz w:val="20"/>
          <w:szCs w:val="20"/>
        </w:rPr>
      </w:pPr>
      <w:r w:rsidRPr="00D90377">
        <w:rPr>
          <w:b/>
          <w:sz w:val="20"/>
          <w:szCs w:val="20"/>
        </w:rPr>
        <w:t xml:space="preserve">Conclusion: </w:t>
      </w:r>
      <w:bookmarkStart w:id="4" w:name="_Hlk30695562"/>
      <w:r w:rsidRPr="00D90377">
        <w:rPr>
          <w:bCs/>
          <w:sz w:val="20"/>
          <w:szCs w:val="20"/>
        </w:rPr>
        <w:t>BKZ provide</w:t>
      </w:r>
      <w:r w:rsidR="005C487C">
        <w:rPr>
          <w:bCs/>
          <w:sz w:val="20"/>
          <w:szCs w:val="20"/>
        </w:rPr>
        <w:t>d</w:t>
      </w:r>
      <w:r w:rsidRPr="00D90377">
        <w:rPr>
          <w:sz w:val="20"/>
          <w:szCs w:val="20"/>
        </w:rPr>
        <w:t xml:space="preserve"> </w:t>
      </w:r>
      <w:r w:rsidR="00C211D1" w:rsidRPr="00D90377">
        <w:rPr>
          <w:sz w:val="20"/>
          <w:szCs w:val="20"/>
        </w:rPr>
        <w:t xml:space="preserve">sustained </w:t>
      </w:r>
      <w:r w:rsidR="00954401" w:rsidRPr="00D90377">
        <w:rPr>
          <w:sz w:val="20"/>
          <w:szCs w:val="20"/>
        </w:rPr>
        <w:t xml:space="preserve">long-term </w:t>
      </w:r>
      <w:r w:rsidRPr="00D90377">
        <w:rPr>
          <w:sz w:val="20"/>
          <w:szCs w:val="20"/>
        </w:rPr>
        <w:t>improvements in key efficacy outcome measures</w:t>
      </w:r>
      <w:r w:rsidR="008651CD" w:rsidRPr="00D90377">
        <w:rPr>
          <w:sz w:val="20"/>
          <w:szCs w:val="20"/>
        </w:rPr>
        <w:t xml:space="preserve"> </w:t>
      </w:r>
      <w:r w:rsidR="00254434" w:rsidRPr="00D90377">
        <w:rPr>
          <w:sz w:val="20"/>
          <w:szCs w:val="20"/>
        </w:rPr>
        <w:t>over 96 w</w:t>
      </w:r>
      <w:r w:rsidR="00CD31E3">
        <w:rPr>
          <w:sz w:val="20"/>
          <w:szCs w:val="20"/>
        </w:rPr>
        <w:t>ee</w:t>
      </w:r>
      <w:r w:rsidR="00254434" w:rsidRPr="00D90377">
        <w:rPr>
          <w:sz w:val="20"/>
          <w:szCs w:val="20"/>
        </w:rPr>
        <w:t>ks of treatment</w:t>
      </w:r>
      <w:r w:rsidR="008651CD" w:rsidRPr="00D90377">
        <w:rPr>
          <w:sz w:val="20"/>
          <w:szCs w:val="20"/>
        </w:rPr>
        <w:t xml:space="preserve">. </w:t>
      </w:r>
      <w:r w:rsidR="00E71116" w:rsidRPr="00D90377">
        <w:rPr>
          <w:sz w:val="20"/>
          <w:szCs w:val="20"/>
        </w:rPr>
        <w:t>Dose reduction to 160</w:t>
      </w:r>
      <w:r w:rsidR="00CD31E3">
        <w:rPr>
          <w:sz w:val="20"/>
          <w:szCs w:val="20"/>
        </w:rPr>
        <w:t xml:space="preserve"> </w:t>
      </w:r>
      <w:r w:rsidR="00E71116" w:rsidRPr="00D90377">
        <w:rPr>
          <w:sz w:val="20"/>
          <w:szCs w:val="20"/>
        </w:rPr>
        <w:t xml:space="preserve">mg Q4W was not followed by loss of response. </w:t>
      </w:r>
      <w:r w:rsidR="008651CD" w:rsidRPr="00D90377">
        <w:rPr>
          <w:sz w:val="20"/>
          <w:szCs w:val="20"/>
        </w:rPr>
        <w:t>There were n</w:t>
      </w:r>
      <w:r w:rsidRPr="00D90377">
        <w:rPr>
          <w:sz w:val="20"/>
          <w:szCs w:val="20"/>
        </w:rPr>
        <w:t>o unexpected safety findings versus previous studies.</w:t>
      </w:r>
    </w:p>
    <w:bookmarkEnd w:id="4"/>
    <w:p w14:paraId="43262230" w14:textId="40D58B57" w:rsidR="00981B40" w:rsidRDefault="003516A4" w:rsidP="00D90377">
      <w:pPr>
        <w:spacing w:after="0" w:line="240" w:lineRule="auto"/>
        <w:rPr>
          <w:rFonts w:eastAsia="Arial Unicode MS"/>
          <w:color w:val="000000"/>
          <w:sz w:val="20"/>
          <w:szCs w:val="20"/>
        </w:rPr>
      </w:pPr>
      <w:r w:rsidRPr="00D90377">
        <w:rPr>
          <w:b/>
          <w:sz w:val="20"/>
          <w:szCs w:val="20"/>
        </w:rPr>
        <w:t xml:space="preserve">Reference: 1. </w:t>
      </w:r>
      <w:r w:rsidRPr="00D90377">
        <w:rPr>
          <w:sz w:val="20"/>
          <w:szCs w:val="20"/>
        </w:rPr>
        <w:t>van der Heijde D. Ann Rheum Dis 2020;</w:t>
      </w:r>
      <w:r w:rsidR="000115CA" w:rsidRPr="00D90377">
        <w:rPr>
          <w:sz w:val="20"/>
          <w:szCs w:val="20"/>
        </w:rPr>
        <w:t>79:595–604.</w:t>
      </w:r>
      <w:r w:rsidR="00152415">
        <w:rPr>
          <w:b/>
          <w:bCs/>
          <w:sz w:val="20"/>
          <w:szCs w:val="20"/>
        </w:rPr>
        <w:t xml:space="preserve"> </w:t>
      </w:r>
      <w:r w:rsidR="003A3A0E" w:rsidRPr="00D90377">
        <w:rPr>
          <w:b/>
          <w:bCs/>
          <w:sz w:val="20"/>
          <w:szCs w:val="20"/>
        </w:rPr>
        <w:t>Funding</w:t>
      </w:r>
      <w:r w:rsidR="00981B40" w:rsidRPr="00D90377">
        <w:rPr>
          <w:b/>
          <w:bCs/>
          <w:sz w:val="20"/>
          <w:szCs w:val="20"/>
        </w:rPr>
        <w:t xml:space="preserve">: </w:t>
      </w:r>
      <w:r w:rsidR="004D1163" w:rsidRPr="00D90377">
        <w:rPr>
          <w:rFonts w:eastAsia="Arial Unicode MS"/>
          <w:color w:val="000000"/>
          <w:sz w:val="20"/>
          <w:szCs w:val="20"/>
        </w:rPr>
        <w:t>UCB Pharma.</w:t>
      </w:r>
    </w:p>
    <w:p w14:paraId="301452FF" w14:textId="77777777" w:rsidR="005C487C" w:rsidRPr="00C63C74" w:rsidRDefault="005C487C" w:rsidP="005C487C">
      <w:pPr>
        <w:spacing w:before="120" w:after="0" w:line="240" w:lineRule="auto"/>
        <w:rPr>
          <w:sz w:val="20"/>
          <w:szCs w:val="20"/>
          <w:lang w:val="en-GB"/>
        </w:rPr>
      </w:pPr>
      <w:r w:rsidRPr="00C63C74">
        <w:rPr>
          <w:b/>
          <w:bCs/>
          <w:sz w:val="20"/>
          <w:szCs w:val="20"/>
          <w:lang w:val="en-GB"/>
        </w:rPr>
        <w:t>Table 1</w:t>
      </w:r>
      <w:r w:rsidRPr="00C63C74">
        <w:rPr>
          <w:sz w:val="20"/>
          <w:szCs w:val="20"/>
          <w:lang w:val="en-GB"/>
        </w:rPr>
        <w:t>: Efficacy responses to Week 96 (OLE Week 48; non-responder imputation)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5C487C" w14:paraId="28EFEFAC" w14:textId="77777777" w:rsidTr="00F02E47">
        <w:tc>
          <w:tcPr>
            <w:tcW w:w="1802" w:type="dxa"/>
            <w:tcBorders>
              <w:left w:val="nil"/>
            </w:tcBorders>
          </w:tcPr>
          <w:p w14:paraId="16C0C892" w14:textId="77777777" w:rsidR="005C487C" w:rsidRDefault="005C487C" w:rsidP="00F02E47">
            <w:pPr>
              <w:spacing w:after="0" w:line="240" w:lineRule="auto"/>
              <w:rPr>
                <w:b/>
                <w:bCs/>
                <w:lang w:val="en-GB"/>
              </w:rPr>
            </w:pPr>
          </w:p>
        </w:tc>
        <w:tc>
          <w:tcPr>
            <w:tcW w:w="3604" w:type="dxa"/>
            <w:gridSpan w:val="2"/>
            <w:shd w:val="clear" w:color="auto" w:fill="354B96"/>
          </w:tcPr>
          <w:p w14:paraId="7CDB4AE6" w14:textId="77777777" w:rsidR="005C487C" w:rsidRPr="00C63C74" w:rsidRDefault="005C487C" w:rsidP="00F02E4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n-GB"/>
              </w:rPr>
            </w:pPr>
            <w:r w:rsidRPr="00C63C74"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BKZ 160 mg </w:t>
            </w:r>
            <w:r w:rsidRPr="00C63C74"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  <w:sym w:font="Wingdings" w:char="F0E0"/>
            </w:r>
            <w:r w:rsidRPr="00C63C74"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 160 mg (n=130)</w:t>
            </w:r>
          </w:p>
        </w:tc>
        <w:tc>
          <w:tcPr>
            <w:tcW w:w="3604" w:type="dxa"/>
            <w:gridSpan w:val="2"/>
            <w:tcBorders>
              <w:right w:val="nil"/>
            </w:tcBorders>
            <w:shd w:val="clear" w:color="auto" w:fill="97BB3A" w:themeFill="accent6"/>
          </w:tcPr>
          <w:p w14:paraId="03D54CCC" w14:textId="77777777" w:rsidR="005C487C" w:rsidRPr="00C63C74" w:rsidRDefault="005C487C" w:rsidP="00F02E47">
            <w:pPr>
              <w:spacing w:after="0" w:line="240" w:lineRule="auto"/>
              <w:jc w:val="center"/>
              <w:rPr>
                <w:b/>
                <w:bCs/>
                <w:color w:val="FFFFFF" w:themeColor="background1"/>
                <w:lang w:val="en-GB"/>
              </w:rPr>
            </w:pPr>
            <w:r w:rsidRPr="00C63C74"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BKZ 320 mg </w:t>
            </w:r>
            <w:r w:rsidRPr="00C63C74"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  <w:sym w:font="Wingdings" w:char="F0E0"/>
            </w:r>
            <w:r w:rsidRPr="00C63C74">
              <w:rPr>
                <w:b/>
                <w:bCs/>
                <w:color w:val="FFFFFF" w:themeColor="background1"/>
                <w:sz w:val="18"/>
                <w:szCs w:val="18"/>
                <w:lang w:val="en-GB"/>
              </w:rPr>
              <w:t xml:space="preserve"> 160 mg (n=124)</w:t>
            </w:r>
          </w:p>
        </w:tc>
      </w:tr>
      <w:tr w:rsidR="005C487C" w14:paraId="30B7ECE1" w14:textId="77777777" w:rsidTr="00F02E47">
        <w:tc>
          <w:tcPr>
            <w:tcW w:w="1802" w:type="dxa"/>
            <w:tcBorders>
              <w:left w:val="nil"/>
            </w:tcBorders>
          </w:tcPr>
          <w:p w14:paraId="17CA70DB" w14:textId="77777777" w:rsidR="005C487C" w:rsidRDefault="005C487C" w:rsidP="00F02E47">
            <w:pPr>
              <w:spacing w:after="0" w:line="240" w:lineRule="auto"/>
              <w:rPr>
                <w:b/>
                <w:bCs/>
                <w:lang w:val="en-GB"/>
              </w:rPr>
            </w:pPr>
            <w:r w:rsidRPr="00C63C74">
              <w:rPr>
                <w:b/>
                <w:bCs/>
                <w:sz w:val="18"/>
                <w:szCs w:val="18"/>
                <w:lang w:val="en-GB"/>
              </w:rPr>
              <w:t>Response (%)</w:t>
            </w:r>
          </w:p>
        </w:tc>
        <w:tc>
          <w:tcPr>
            <w:tcW w:w="1802" w:type="dxa"/>
          </w:tcPr>
          <w:p w14:paraId="4C582D17" w14:textId="29051A2E" w:rsidR="005C487C" w:rsidRPr="00C63C74" w:rsidRDefault="005C487C" w:rsidP="00F02E4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63C74">
              <w:rPr>
                <w:b/>
                <w:bCs/>
                <w:sz w:val="18"/>
                <w:szCs w:val="18"/>
                <w:lang w:val="en-GB"/>
              </w:rPr>
              <w:t>W</w:t>
            </w:r>
            <w:r w:rsidR="00CD31E3">
              <w:rPr>
                <w:b/>
                <w:bCs/>
                <w:sz w:val="18"/>
                <w:szCs w:val="18"/>
                <w:lang w:val="en-GB"/>
              </w:rPr>
              <w:t>ee</w:t>
            </w:r>
            <w:r w:rsidRPr="00C63C74">
              <w:rPr>
                <w:b/>
                <w:bCs/>
                <w:sz w:val="18"/>
                <w:szCs w:val="18"/>
                <w:lang w:val="en-GB"/>
              </w:rPr>
              <w:t>k</w:t>
            </w:r>
            <w:r w:rsidR="00CD31E3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C63C74">
              <w:rPr>
                <w:b/>
                <w:bCs/>
                <w:sz w:val="18"/>
                <w:szCs w:val="18"/>
                <w:lang w:val="en-GB"/>
              </w:rPr>
              <w:t>48</w:t>
            </w:r>
          </w:p>
        </w:tc>
        <w:tc>
          <w:tcPr>
            <w:tcW w:w="1802" w:type="dxa"/>
          </w:tcPr>
          <w:p w14:paraId="6DC6B9A6" w14:textId="7370481E" w:rsidR="005C487C" w:rsidRPr="00C63C74" w:rsidRDefault="005C487C" w:rsidP="00F02E4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63C74">
              <w:rPr>
                <w:b/>
                <w:bCs/>
                <w:sz w:val="18"/>
                <w:szCs w:val="18"/>
                <w:lang w:val="en-GB"/>
              </w:rPr>
              <w:t>W</w:t>
            </w:r>
            <w:r w:rsidR="00CD31E3">
              <w:rPr>
                <w:b/>
                <w:bCs/>
                <w:sz w:val="18"/>
                <w:szCs w:val="18"/>
                <w:lang w:val="en-GB"/>
              </w:rPr>
              <w:t>ee</w:t>
            </w:r>
            <w:r w:rsidRPr="00C63C74">
              <w:rPr>
                <w:b/>
                <w:bCs/>
                <w:sz w:val="18"/>
                <w:szCs w:val="18"/>
                <w:lang w:val="en-GB"/>
              </w:rPr>
              <w:t>k</w:t>
            </w:r>
            <w:r w:rsidR="00CD31E3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C63C74">
              <w:rPr>
                <w:b/>
                <w:bCs/>
                <w:sz w:val="18"/>
                <w:szCs w:val="18"/>
                <w:lang w:val="en-GB"/>
              </w:rPr>
              <w:t>96</w:t>
            </w:r>
          </w:p>
        </w:tc>
        <w:tc>
          <w:tcPr>
            <w:tcW w:w="1802" w:type="dxa"/>
          </w:tcPr>
          <w:p w14:paraId="7BCCFD87" w14:textId="3159D6D8" w:rsidR="005C487C" w:rsidRPr="00C63C74" w:rsidRDefault="005C487C" w:rsidP="00F02E4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63C74">
              <w:rPr>
                <w:b/>
                <w:bCs/>
                <w:sz w:val="18"/>
                <w:szCs w:val="18"/>
                <w:lang w:val="en-GB"/>
              </w:rPr>
              <w:t>W</w:t>
            </w:r>
            <w:r w:rsidR="00CD31E3">
              <w:rPr>
                <w:b/>
                <w:bCs/>
                <w:sz w:val="18"/>
                <w:szCs w:val="18"/>
                <w:lang w:val="en-GB"/>
              </w:rPr>
              <w:t>ee</w:t>
            </w:r>
            <w:r w:rsidRPr="00C63C74">
              <w:rPr>
                <w:b/>
                <w:bCs/>
                <w:sz w:val="18"/>
                <w:szCs w:val="18"/>
                <w:lang w:val="en-GB"/>
              </w:rPr>
              <w:t>k</w:t>
            </w:r>
            <w:r w:rsidR="00CD31E3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C63C74">
              <w:rPr>
                <w:b/>
                <w:bCs/>
                <w:sz w:val="18"/>
                <w:szCs w:val="18"/>
                <w:lang w:val="en-GB"/>
              </w:rPr>
              <w:t>48</w:t>
            </w:r>
          </w:p>
        </w:tc>
        <w:tc>
          <w:tcPr>
            <w:tcW w:w="1802" w:type="dxa"/>
            <w:tcBorders>
              <w:right w:val="nil"/>
            </w:tcBorders>
          </w:tcPr>
          <w:p w14:paraId="0227175D" w14:textId="6453464C" w:rsidR="005C487C" w:rsidRPr="00C63C74" w:rsidRDefault="005C487C" w:rsidP="00F02E47">
            <w:pPr>
              <w:spacing w:after="0" w:line="240" w:lineRule="auto"/>
              <w:jc w:val="center"/>
              <w:rPr>
                <w:b/>
                <w:bCs/>
                <w:sz w:val="18"/>
                <w:szCs w:val="18"/>
                <w:lang w:val="en-GB"/>
              </w:rPr>
            </w:pPr>
            <w:r w:rsidRPr="00C63C74">
              <w:rPr>
                <w:b/>
                <w:bCs/>
                <w:sz w:val="18"/>
                <w:szCs w:val="18"/>
                <w:lang w:val="en-GB"/>
              </w:rPr>
              <w:t>W</w:t>
            </w:r>
            <w:r w:rsidR="00CD31E3">
              <w:rPr>
                <w:b/>
                <w:bCs/>
                <w:sz w:val="18"/>
                <w:szCs w:val="18"/>
                <w:lang w:val="en-GB"/>
              </w:rPr>
              <w:t>ee</w:t>
            </w:r>
            <w:r w:rsidRPr="00C63C74">
              <w:rPr>
                <w:b/>
                <w:bCs/>
                <w:sz w:val="18"/>
                <w:szCs w:val="18"/>
                <w:lang w:val="en-GB"/>
              </w:rPr>
              <w:t>k</w:t>
            </w:r>
            <w:r w:rsidR="00CD31E3">
              <w:rPr>
                <w:b/>
                <w:bCs/>
                <w:sz w:val="18"/>
                <w:szCs w:val="18"/>
                <w:lang w:val="en-GB"/>
              </w:rPr>
              <w:t xml:space="preserve"> </w:t>
            </w:r>
            <w:r w:rsidRPr="00C63C74">
              <w:rPr>
                <w:b/>
                <w:bCs/>
                <w:sz w:val="18"/>
                <w:szCs w:val="18"/>
                <w:lang w:val="en-GB"/>
              </w:rPr>
              <w:t>96</w:t>
            </w:r>
          </w:p>
        </w:tc>
      </w:tr>
      <w:tr w:rsidR="005C487C" w14:paraId="536C5668" w14:textId="77777777" w:rsidTr="00F02E47">
        <w:tc>
          <w:tcPr>
            <w:tcW w:w="1802" w:type="dxa"/>
            <w:tcBorders>
              <w:left w:val="nil"/>
            </w:tcBorders>
          </w:tcPr>
          <w:p w14:paraId="1B074005" w14:textId="77777777" w:rsidR="005C487C" w:rsidRPr="00C63C74" w:rsidRDefault="005C487C" w:rsidP="00F02E47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ASAS40</w:t>
            </w:r>
          </w:p>
        </w:tc>
        <w:tc>
          <w:tcPr>
            <w:tcW w:w="1802" w:type="dxa"/>
          </w:tcPr>
          <w:p w14:paraId="002FC6DA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57.7</w:t>
            </w:r>
          </w:p>
        </w:tc>
        <w:tc>
          <w:tcPr>
            <w:tcW w:w="1802" w:type="dxa"/>
          </w:tcPr>
          <w:p w14:paraId="43EC542A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64.6</w:t>
            </w:r>
          </w:p>
        </w:tc>
        <w:tc>
          <w:tcPr>
            <w:tcW w:w="1802" w:type="dxa"/>
          </w:tcPr>
          <w:p w14:paraId="5C65A739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62.1</w:t>
            </w:r>
          </w:p>
        </w:tc>
        <w:tc>
          <w:tcPr>
            <w:tcW w:w="1802" w:type="dxa"/>
            <w:tcBorders>
              <w:right w:val="nil"/>
            </w:tcBorders>
          </w:tcPr>
          <w:p w14:paraId="42CD2760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66.9</w:t>
            </w:r>
          </w:p>
        </w:tc>
      </w:tr>
      <w:tr w:rsidR="005C487C" w14:paraId="12A015D8" w14:textId="77777777" w:rsidTr="00F02E47">
        <w:tc>
          <w:tcPr>
            <w:tcW w:w="1802" w:type="dxa"/>
            <w:tcBorders>
              <w:left w:val="nil"/>
            </w:tcBorders>
          </w:tcPr>
          <w:p w14:paraId="7E3BA706" w14:textId="77777777" w:rsidR="005C487C" w:rsidRPr="00C63C74" w:rsidRDefault="005C487C" w:rsidP="00F02E47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ASAS20</w:t>
            </w:r>
          </w:p>
        </w:tc>
        <w:tc>
          <w:tcPr>
            <w:tcW w:w="1802" w:type="dxa"/>
          </w:tcPr>
          <w:p w14:paraId="518389D0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76.9</w:t>
            </w:r>
          </w:p>
        </w:tc>
        <w:tc>
          <w:tcPr>
            <w:tcW w:w="1802" w:type="dxa"/>
          </w:tcPr>
          <w:p w14:paraId="3E4ADB7C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76.9</w:t>
            </w:r>
          </w:p>
        </w:tc>
        <w:tc>
          <w:tcPr>
            <w:tcW w:w="1802" w:type="dxa"/>
          </w:tcPr>
          <w:p w14:paraId="58D3059A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75.0</w:t>
            </w:r>
          </w:p>
        </w:tc>
        <w:tc>
          <w:tcPr>
            <w:tcW w:w="1802" w:type="dxa"/>
            <w:tcBorders>
              <w:right w:val="nil"/>
            </w:tcBorders>
          </w:tcPr>
          <w:p w14:paraId="328AD1D1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79.8</w:t>
            </w:r>
          </w:p>
        </w:tc>
      </w:tr>
      <w:tr w:rsidR="005C487C" w14:paraId="5F3F6D5C" w14:textId="77777777" w:rsidTr="00F02E47">
        <w:tc>
          <w:tcPr>
            <w:tcW w:w="1802" w:type="dxa"/>
            <w:tcBorders>
              <w:left w:val="nil"/>
            </w:tcBorders>
          </w:tcPr>
          <w:p w14:paraId="2272CDEC" w14:textId="77777777" w:rsidR="005C487C" w:rsidRPr="00C63C74" w:rsidRDefault="005C487C" w:rsidP="00F02E47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ASAS PR</w:t>
            </w:r>
          </w:p>
        </w:tc>
        <w:tc>
          <w:tcPr>
            <w:tcW w:w="1802" w:type="dxa"/>
          </w:tcPr>
          <w:p w14:paraId="29529108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27.7</w:t>
            </w:r>
          </w:p>
        </w:tc>
        <w:tc>
          <w:tcPr>
            <w:tcW w:w="1802" w:type="dxa"/>
          </w:tcPr>
          <w:p w14:paraId="5F929F85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36.2</w:t>
            </w:r>
          </w:p>
        </w:tc>
        <w:tc>
          <w:tcPr>
            <w:tcW w:w="1802" w:type="dxa"/>
          </w:tcPr>
          <w:p w14:paraId="16FE9353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35.5</w:t>
            </w:r>
          </w:p>
        </w:tc>
        <w:tc>
          <w:tcPr>
            <w:tcW w:w="1802" w:type="dxa"/>
            <w:tcBorders>
              <w:right w:val="nil"/>
            </w:tcBorders>
          </w:tcPr>
          <w:p w14:paraId="3F66A11B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36.3</w:t>
            </w:r>
          </w:p>
        </w:tc>
      </w:tr>
      <w:tr w:rsidR="005C487C" w14:paraId="41FFE08B" w14:textId="77777777" w:rsidTr="00F02E47">
        <w:tc>
          <w:tcPr>
            <w:tcW w:w="1802" w:type="dxa"/>
            <w:tcBorders>
              <w:left w:val="nil"/>
            </w:tcBorders>
          </w:tcPr>
          <w:p w14:paraId="1F53597C" w14:textId="77777777" w:rsidR="005C487C" w:rsidRPr="00C63C74" w:rsidRDefault="005C487C" w:rsidP="00F02E47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ASDAS&lt;2.1</w:t>
            </w:r>
          </w:p>
        </w:tc>
        <w:tc>
          <w:tcPr>
            <w:tcW w:w="1802" w:type="dxa"/>
          </w:tcPr>
          <w:p w14:paraId="5B9CB593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56.</w:t>
            </w:r>
            <w:r>
              <w:rPr>
                <w:sz w:val="18"/>
                <w:szCs w:val="18"/>
                <w:lang w:val="en-GB"/>
              </w:rPr>
              <w:t>2</w:t>
            </w:r>
          </w:p>
        </w:tc>
        <w:tc>
          <w:tcPr>
            <w:tcW w:w="1802" w:type="dxa"/>
          </w:tcPr>
          <w:p w14:paraId="25EEA5D7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61.5</w:t>
            </w:r>
          </w:p>
        </w:tc>
        <w:tc>
          <w:tcPr>
            <w:tcW w:w="1802" w:type="dxa"/>
          </w:tcPr>
          <w:p w14:paraId="4F5CEFFD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58.9</w:t>
            </w:r>
          </w:p>
        </w:tc>
        <w:tc>
          <w:tcPr>
            <w:tcW w:w="1802" w:type="dxa"/>
            <w:tcBorders>
              <w:right w:val="nil"/>
            </w:tcBorders>
          </w:tcPr>
          <w:p w14:paraId="3B6F904E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58.</w:t>
            </w:r>
            <w:r>
              <w:rPr>
                <w:sz w:val="18"/>
                <w:szCs w:val="18"/>
                <w:lang w:val="en-GB"/>
              </w:rPr>
              <w:t>9</w:t>
            </w:r>
          </w:p>
        </w:tc>
      </w:tr>
      <w:tr w:rsidR="005C487C" w14:paraId="1258B3C6" w14:textId="77777777" w:rsidTr="00F02E47">
        <w:tc>
          <w:tcPr>
            <w:tcW w:w="1802" w:type="dxa"/>
            <w:tcBorders>
              <w:left w:val="nil"/>
            </w:tcBorders>
          </w:tcPr>
          <w:p w14:paraId="10561708" w14:textId="77777777" w:rsidR="005C487C" w:rsidRPr="00C63C74" w:rsidRDefault="005C487C" w:rsidP="00F02E47">
            <w:pPr>
              <w:spacing w:after="0" w:line="240" w:lineRule="auto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ASDAS-ID</w:t>
            </w:r>
          </w:p>
        </w:tc>
        <w:tc>
          <w:tcPr>
            <w:tcW w:w="1802" w:type="dxa"/>
          </w:tcPr>
          <w:p w14:paraId="51BE3BE9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21.5</w:t>
            </w:r>
          </w:p>
        </w:tc>
        <w:tc>
          <w:tcPr>
            <w:tcW w:w="1802" w:type="dxa"/>
          </w:tcPr>
          <w:p w14:paraId="0A0D47B8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27.7</w:t>
            </w:r>
          </w:p>
        </w:tc>
        <w:tc>
          <w:tcPr>
            <w:tcW w:w="1802" w:type="dxa"/>
          </w:tcPr>
          <w:p w14:paraId="3A850ACD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24.2</w:t>
            </w:r>
          </w:p>
        </w:tc>
        <w:tc>
          <w:tcPr>
            <w:tcW w:w="1802" w:type="dxa"/>
            <w:tcBorders>
              <w:right w:val="nil"/>
            </w:tcBorders>
          </w:tcPr>
          <w:p w14:paraId="1CFC33B7" w14:textId="77777777" w:rsidR="005C487C" w:rsidRPr="00C63C74" w:rsidRDefault="005C487C" w:rsidP="00F02E47">
            <w:pPr>
              <w:spacing w:after="0" w:line="240" w:lineRule="auto"/>
              <w:jc w:val="center"/>
              <w:rPr>
                <w:sz w:val="18"/>
                <w:szCs w:val="18"/>
                <w:lang w:val="en-GB"/>
              </w:rPr>
            </w:pPr>
            <w:r w:rsidRPr="00C63C74">
              <w:rPr>
                <w:sz w:val="18"/>
                <w:szCs w:val="18"/>
                <w:lang w:val="en-GB"/>
              </w:rPr>
              <w:t>29.0</w:t>
            </w:r>
          </w:p>
        </w:tc>
      </w:tr>
    </w:tbl>
    <w:p w14:paraId="6FF5608F" w14:textId="77777777" w:rsidR="005C487C" w:rsidRPr="00F17498" w:rsidRDefault="005C487C" w:rsidP="005C487C">
      <w:pPr>
        <w:spacing w:before="120" w:after="0" w:line="240" w:lineRule="auto"/>
        <w:rPr>
          <w:sz w:val="20"/>
          <w:szCs w:val="20"/>
          <w:lang w:val="en-GB"/>
        </w:rPr>
      </w:pPr>
      <w:r w:rsidRPr="00F17498">
        <w:rPr>
          <w:b/>
          <w:bCs/>
          <w:sz w:val="20"/>
          <w:szCs w:val="20"/>
          <w:lang w:val="en-GB"/>
        </w:rPr>
        <w:t xml:space="preserve">Table </w:t>
      </w:r>
      <w:r>
        <w:rPr>
          <w:b/>
          <w:bCs/>
          <w:sz w:val="20"/>
          <w:szCs w:val="20"/>
          <w:lang w:val="en-GB"/>
        </w:rPr>
        <w:t>2</w:t>
      </w:r>
      <w:r w:rsidRPr="00F17498">
        <w:rPr>
          <w:sz w:val="20"/>
          <w:szCs w:val="20"/>
          <w:lang w:val="en-GB"/>
        </w:rPr>
        <w:t>: Continuous efficacy outcomes to Week 96 (OLE Week 48; multiple imputation)</w:t>
      </w:r>
    </w:p>
    <w:tbl>
      <w:tblPr>
        <w:tblStyle w:val="TableGrid"/>
        <w:tblW w:w="9072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993"/>
        <w:gridCol w:w="850"/>
        <w:gridCol w:w="992"/>
        <w:gridCol w:w="851"/>
        <w:gridCol w:w="850"/>
        <w:gridCol w:w="851"/>
        <w:gridCol w:w="850"/>
        <w:gridCol w:w="851"/>
        <w:gridCol w:w="992"/>
        <w:gridCol w:w="992"/>
      </w:tblGrid>
      <w:tr w:rsidR="005C487C" w:rsidRPr="00EA16FC" w14:paraId="2E47C096" w14:textId="77777777" w:rsidTr="00F02E47">
        <w:trPr>
          <w:trHeight w:val="265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63F8B" w14:textId="77777777" w:rsidR="005C487C" w:rsidRPr="00EA16FC" w:rsidRDefault="005C487C" w:rsidP="00F02E47">
            <w:pPr>
              <w:pStyle w:val="Table"/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54B96"/>
            <w:vAlign w:val="center"/>
          </w:tcPr>
          <w:p w14:paraId="4040790F" w14:textId="77777777" w:rsidR="005C487C" w:rsidRPr="00954401" w:rsidRDefault="005C487C" w:rsidP="00F02E47">
            <w:pPr>
              <w:pStyle w:val="Table"/>
              <w:rPr>
                <w:b/>
                <w:bCs/>
                <w:color w:val="FFFFFF" w:themeColor="background1"/>
              </w:rPr>
            </w:pPr>
            <w:r w:rsidRPr="00954401">
              <w:rPr>
                <w:b/>
                <w:bCs/>
                <w:color w:val="FFFFFF" w:themeColor="background1"/>
              </w:rPr>
              <w:t xml:space="preserve">BKZ 160 mg </w:t>
            </w:r>
            <w:r w:rsidRPr="00EC5853">
              <w:rPr>
                <w:b/>
                <w:bCs/>
                <w:color w:val="FFFFFF" w:themeColor="background1"/>
              </w:rPr>
              <w:sym w:font="Wingdings" w:char="F0E0"/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954401">
              <w:rPr>
                <w:b/>
                <w:bCs/>
                <w:color w:val="FFFFFF" w:themeColor="background1"/>
              </w:rPr>
              <w:t>160 mg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954401">
              <w:rPr>
                <w:b/>
                <w:bCs/>
                <w:color w:val="FFFFFF" w:themeColor="background1"/>
              </w:rPr>
              <w:t>(</w:t>
            </w:r>
            <w:r>
              <w:rPr>
                <w:b/>
                <w:bCs/>
                <w:color w:val="FFFFFF" w:themeColor="background1"/>
              </w:rPr>
              <w:t>n</w:t>
            </w:r>
            <w:r w:rsidRPr="00954401">
              <w:rPr>
                <w:b/>
                <w:bCs/>
                <w:color w:val="FFFFFF" w:themeColor="background1"/>
              </w:rPr>
              <w:t>=130)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7BB3A" w:themeFill="accent6"/>
            <w:vAlign w:val="center"/>
          </w:tcPr>
          <w:p w14:paraId="04710BD2" w14:textId="77777777" w:rsidR="005C487C" w:rsidRPr="00954401" w:rsidRDefault="005C487C" w:rsidP="00F02E47">
            <w:pPr>
              <w:pStyle w:val="Table"/>
              <w:rPr>
                <w:b/>
                <w:bCs/>
                <w:color w:val="FFFFFF" w:themeColor="background1"/>
              </w:rPr>
            </w:pPr>
            <w:r w:rsidRPr="00954401">
              <w:rPr>
                <w:b/>
                <w:bCs/>
                <w:color w:val="FFFFFF" w:themeColor="background1"/>
              </w:rPr>
              <w:t xml:space="preserve">BKZ 320 mg </w:t>
            </w:r>
            <w:r w:rsidRPr="00EC5853">
              <w:rPr>
                <w:b/>
                <w:bCs/>
                <w:color w:val="FFFFFF" w:themeColor="background1"/>
              </w:rPr>
              <w:sym w:font="Wingdings" w:char="F0E0"/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954401">
              <w:rPr>
                <w:b/>
                <w:bCs/>
                <w:color w:val="FFFFFF" w:themeColor="background1"/>
              </w:rPr>
              <w:t>160 mg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954401">
              <w:rPr>
                <w:b/>
                <w:bCs/>
                <w:color w:val="FFFFFF" w:themeColor="background1"/>
              </w:rPr>
              <w:t>(</w:t>
            </w:r>
            <w:r>
              <w:rPr>
                <w:b/>
                <w:bCs/>
                <w:color w:val="FFFFFF" w:themeColor="background1"/>
              </w:rPr>
              <w:t>n</w:t>
            </w:r>
            <w:r w:rsidRPr="00954401">
              <w:rPr>
                <w:b/>
                <w:bCs/>
                <w:color w:val="FFFFFF" w:themeColor="background1"/>
              </w:rPr>
              <w:t>=124)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57800" w:themeFill="accent4"/>
            <w:vAlign w:val="center"/>
          </w:tcPr>
          <w:p w14:paraId="7FDF22D2" w14:textId="77777777" w:rsidR="005C487C" w:rsidRPr="00EC5853" w:rsidRDefault="005C487C" w:rsidP="00F02E47">
            <w:pPr>
              <w:pStyle w:val="Table"/>
              <w:rPr>
                <w:b/>
                <w:bCs/>
                <w:color w:val="FFFFFF" w:themeColor="background1"/>
              </w:rPr>
            </w:pPr>
            <w:r w:rsidRPr="00EC5853">
              <w:rPr>
                <w:b/>
                <w:bCs/>
                <w:color w:val="FFFFFF" w:themeColor="background1"/>
              </w:rPr>
              <w:t>All BKZ</w:t>
            </w:r>
            <w:r>
              <w:rPr>
                <w:b/>
                <w:bCs/>
                <w:color w:val="FFFFFF" w:themeColor="background1"/>
              </w:rPr>
              <w:t xml:space="preserve"> </w:t>
            </w:r>
            <w:r w:rsidRPr="00EC5853">
              <w:rPr>
                <w:b/>
                <w:bCs/>
                <w:color w:val="FFFFFF" w:themeColor="background1"/>
              </w:rPr>
              <w:t>(N=254)</w:t>
            </w:r>
          </w:p>
        </w:tc>
      </w:tr>
      <w:tr w:rsidR="005C487C" w:rsidRPr="00EA16FC" w14:paraId="331C2903" w14:textId="77777777" w:rsidTr="00F02E47">
        <w:trPr>
          <w:trHeight w:val="114"/>
        </w:trPr>
        <w:tc>
          <w:tcPr>
            <w:tcW w:w="993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B3FC5B" w14:textId="77777777" w:rsidR="005C487C" w:rsidRPr="00BD14F5" w:rsidRDefault="005C487C" w:rsidP="00F02E47">
            <w:pPr>
              <w:pStyle w:val="Tab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Mean (SD)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0E4FBEF" w14:textId="2576CEEE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>B</w:t>
            </w:r>
            <w:r w:rsidR="00CD31E3">
              <w:rPr>
                <w:b/>
                <w:bCs/>
              </w:rPr>
              <w:t>aseline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2BA1E79A" w14:textId="214BB7F3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>W</w:t>
            </w:r>
            <w:r w:rsidR="00CD31E3">
              <w:rPr>
                <w:b/>
                <w:bCs/>
              </w:rPr>
              <w:t>ee</w:t>
            </w:r>
            <w:r>
              <w:rPr>
                <w:b/>
                <w:bCs/>
              </w:rPr>
              <w:t>k</w:t>
            </w:r>
            <w:r w:rsidR="00D90377">
              <w:rPr>
                <w:b/>
                <w:bCs/>
              </w:rPr>
              <w:t xml:space="preserve"> </w:t>
            </w:r>
            <w:r w:rsidRPr="00BD14F5">
              <w:rPr>
                <w:b/>
                <w:bCs/>
              </w:rPr>
              <w:t>48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D3EC85F" w14:textId="70DCB84C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>W</w:t>
            </w:r>
            <w:r w:rsidR="00CD31E3">
              <w:rPr>
                <w:b/>
                <w:bCs/>
              </w:rPr>
              <w:t>ee</w:t>
            </w:r>
            <w:r>
              <w:rPr>
                <w:b/>
                <w:bCs/>
              </w:rPr>
              <w:t>k</w:t>
            </w:r>
            <w:r w:rsidR="00D90377">
              <w:rPr>
                <w:b/>
                <w:bCs/>
              </w:rPr>
              <w:t xml:space="preserve"> </w:t>
            </w:r>
            <w:r w:rsidRPr="00BD14F5">
              <w:rPr>
                <w:b/>
                <w:bCs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C99E503" w14:textId="220F51F0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>B</w:t>
            </w:r>
            <w:r w:rsidR="00CD31E3">
              <w:rPr>
                <w:b/>
                <w:bCs/>
              </w:rPr>
              <w:t>aseline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66F391B5" w14:textId="5E971F56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>W</w:t>
            </w:r>
            <w:r w:rsidR="00CD31E3">
              <w:rPr>
                <w:b/>
                <w:bCs/>
              </w:rPr>
              <w:t>ee</w:t>
            </w:r>
            <w:r>
              <w:rPr>
                <w:b/>
                <w:bCs/>
              </w:rPr>
              <w:t>k</w:t>
            </w:r>
            <w:r w:rsidR="00D90377">
              <w:rPr>
                <w:b/>
                <w:bCs/>
              </w:rPr>
              <w:t xml:space="preserve"> </w:t>
            </w:r>
            <w:r w:rsidRPr="00BD14F5">
              <w:rPr>
                <w:b/>
                <w:bCs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29C311" w14:textId="669A1D73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>W</w:t>
            </w:r>
            <w:r w:rsidR="00CD31E3">
              <w:rPr>
                <w:b/>
                <w:bCs/>
              </w:rPr>
              <w:t>ee</w:t>
            </w:r>
            <w:r>
              <w:rPr>
                <w:b/>
                <w:bCs/>
              </w:rPr>
              <w:t>k</w:t>
            </w:r>
            <w:r w:rsidR="00D90377">
              <w:rPr>
                <w:b/>
                <w:bCs/>
              </w:rPr>
              <w:t xml:space="preserve"> </w:t>
            </w:r>
            <w:r w:rsidRPr="00BD14F5">
              <w:rPr>
                <w:b/>
                <w:bCs/>
              </w:rPr>
              <w:t>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422D35BF" w14:textId="0A3B6E5F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>B</w:t>
            </w:r>
            <w:r w:rsidR="00CD31E3">
              <w:rPr>
                <w:b/>
                <w:bCs/>
              </w:rPr>
              <w:t>aseline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5B73C0AB" w14:textId="4168C49B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>W</w:t>
            </w:r>
            <w:r w:rsidR="00CD31E3">
              <w:rPr>
                <w:b/>
                <w:bCs/>
              </w:rPr>
              <w:t>ee</w:t>
            </w:r>
            <w:r>
              <w:rPr>
                <w:b/>
                <w:bCs/>
              </w:rPr>
              <w:t>k</w:t>
            </w:r>
            <w:r w:rsidR="00D90377">
              <w:rPr>
                <w:b/>
                <w:bCs/>
              </w:rPr>
              <w:t xml:space="preserve"> </w:t>
            </w:r>
            <w:r w:rsidRPr="00BD14F5">
              <w:rPr>
                <w:b/>
                <w:bCs/>
              </w:rPr>
              <w:t>48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F2F2F2" w:themeFill="background1" w:themeFillShade="F2"/>
            <w:vAlign w:val="center"/>
          </w:tcPr>
          <w:p w14:paraId="02B349A0" w14:textId="6B4B4380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>W</w:t>
            </w:r>
            <w:r w:rsidR="00CD31E3">
              <w:rPr>
                <w:b/>
                <w:bCs/>
              </w:rPr>
              <w:t>ee</w:t>
            </w:r>
            <w:r>
              <w:rPr>
                <w:b/>
                <w:bCs/>
              </w:rPr>
              <w:t>k</w:t>
            </w:r>
            <w:r w:rsidR="00D90377">
              <w:rPr>
                <w:b/>
                <w:bCs/>
              </w:rPr>
              <w:t xml:space="preserve"> </w:t>
            </w:r>
            <w:r w:rsidRPr="00BD14F5">
              <w:rPr>
                <w:b/>
                <w:bCs/>
              </w:rPr>
              <w:t>96</w:t>
            </w:r>
          </w:p>
        </w:tc>
      </w:tr>
      <w:tr w:rsidR="005C487C" w:rsidRPr="00EA16FC" w14:paraId="590CDD55" w14:textId="77777777" w:rsidTr="00F02E47">
        <w:trPr>
          <w:trHeight w:val="171"/>
        </w:trPr>
        <w:tc>
          <w:tcPr>
            <w:tcW w:w="993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5E202C" w14:textId="77777777" w:rsidR="005C487C" w:rsidRPr="00BD14F5" w:rsidRDefault="005C487C" w:rsidP="00F02E47">
            <w:pPr>
              <w:pStyle w:val="Table"/>
              <w:jc w:val="left"/>
            </w:pPr>
            <w:r w:rsidRPr="00BD14F5">
              <w:t>ASDAS-CRP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8051EC9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3.9</w:t>
            </w:r>
            <w:r>
              <w:rPr>
                <w:bCs/>
              </w:rPr>
              <w:t xml:space="preserve"> </w:t>
            </w:r>
            <w:r w:rsidRPr="00BD14F5">
              <w:rPr>
                <w:bCs/>
              </w:rPr>
              <w:t>(0.8)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277AE6F4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  <w:r>
              <w:t xml:space="preserve"> </w:t>
            </w:r>
            <w:r w:rsidRPr="00BD14F5">
              <w:t>(</w:t>
            </w:r>
            <w:r>
              <w:t>0.9</w:t>
            </w:r>
            <w:r w:rsidRPr="00BD14F5">
              <w:t>)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0FAE1A1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  <w:r>
              <w:t xml:space="preserve"> </w:t>
            </w:r>
            <w:r w:rsidRPr="00A24DA2">
              <w:t>(0.9)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23AE9FCD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3.9</w:t>
            </w:r>
            <w:r w:rsidRPr="00BD14F5">
              <w:rPr>
                <w:b/>
                <w:bCs/>
              </w:rPr>
              <w:t xml:space="preserve"> </w:t>
            </w:r>
            <w:r w:rsidRPr="00BD14F5">
              <w:rPr>
                <w:bCs/>
              </w:rPr>
              <w:t>(0.8)</w:t>
            </w: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vAlign w:val="center"/>
          </w:tcPr>
          <w:p w14:paraId="7D354BCB" w14:textId="77777777" w:rsidR="005C487C" w:rsidRPr="00A24DA2" w:rsidRDefault="005C487C" w:rsidP="00F02E47">
            <w:pPr>
              <w:pStyle w:val="Table"/>
            </w:pPr>
            <w:r>
              <w:rPr>
                <w:b/>
                <w:bCs/>
              </w:rPr>
              <w:t>2.0</w:t>
            </w:r>
            <w:r>
              <w:t xml:space="preserve"> (0.9)</w:t>
            </w:r>
          </w:p>
        </w:tc>
        <w:tc>
          <w:tcPr>
            <w:tcW w:w="850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A9A02A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  <w:r>
              <w:t xml:space="preserve"> (0.9)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67210A7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3.9</w:t>
            </w:r>
            <w:r>
              <w:rPr>
                <w:bCs/>
              </w:rPr>
              <w:t xml:space="preserve"> </w:t>
            </w:r>
            <w:r w:rsidRPr="00BD14F5">
              <w:rPr>
                <w:bCs/>
              </w:rPr>
              <w:t>(0.8)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60F57C48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>2.</w:t>
            </w:r>
            <w:r>
              <w:rPr>
                <w:b/>
                <w:bCs/>
              </w:rPr>
              <w:t>0</w:t>
            </w:r>
            <w:r w:rsidRPr="00BD14F5">
              <w:rPr>
                <w:b/>
                <w:bCs/>
              </w:rPr>
              <w:t xml:space="preserve"> </w:t>
            </w:r>
            <w:r w:rsidRPr="00BD14F5">
              <w:t>(</w:t>
            </w:r>
            <w:r>
              <w:t>0.9</w:t>
            </w:r>
            <w:r w:rsidRPr="00BD14F5">
              <w:t>)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vAlign w:val="center"/>
          </w:tcPr>
          <w:p w14:paraId="44ADC289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1.9</w:t>
            </w:r>
            <w:r>
              <w:rPr>
                <w:bCs/>
              </w:rPr>
              <w:t xml:space="preserve"> </w:t>
            </w:r>
            <w:r w:rsidRPr="00BD14F5">
              <w:rPr>
                <w:bCs/>
              </w:rPr>
              <w:t>(</w:t>
            </w:r>
            <w:r>
              <w:rPr>
                <w:bCs/>
              </w:rPr>
              <w:t>0.9</w:t>
            </w:r>
            <w:r w:rsidRPr="00BD14F5">
              <w:rPr>
                <w:bCs/>
              </w:rPr>
              <w:t>)</w:t>
            </w:r>
          </w:p>
        </w:tc>
      </w:tr>
      <w:tr w:rsidR="005C487C" w:rsidRPr="00EA16FC" w14:paraId="7FAFB619" w14:textId="77777777" w:rsidTr="00F02E47">
        <w:trPr>
          <w:trHeight w:val="171"/>
        </w:trPr>
        <w:tc>
          <w:tcPr>
            <w:tcW w:w="993" w:type="dxa"/>
            <w:tcBorders>
              <w:top w:val="nil"/>
              <w:right w:val="single" w:sz="4" w:space="0" w:color="auto"/>
            </w:tcBorders>
            <w:vAlign w:val="center"/>
          </w:tcPr>
          <w:p w14:paraId="5D93DE5E" w14:textId="77777777" w:rsidR="005C487C" w:rsidRPr="00BD14F5" w:rsidRDefault="005C487C" w:rsidP="00F02E47">
            <w:pPr>
              <w:pStyle w:val="Table"/>
              <w:jc w:val="left"/>
            </w:pPr>
            <w:r w:rsidRPr="00BD14F5">
              <w:t>BASDAI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CC6A9D9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 xml:space="preserve">6.3 </w:t>
            </w:r>
            <w:r w:rsidRPr="00BD14F5">
              <w:rPr>
                <w:bCs/>
              </w:rPr>
              <w:t>(1.3)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3C6E9A50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  <w:r>
              <w:t xml:space="preserve"> </w:t>
            </w:r>
            <w:r w:rsidRPr="00BD14F5">
              <w:t>(</w:t>
            </w:r>
            <w:r>
              <w:t>1.8</w:t>
            </w:r>
            <w:r w:rsidRPr="00BD14F5">
              <w:t>)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A22B68A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  <w:r>
              <w:t xml:space="preserve"> </w:t>
            </w:r>
            <w:r w:rsidRPr="00BD14F5">
              <w:t>(</w:t>
            </w:r>
            <w:r>
              <w:t>1.8</w:t>
            </w:r>
            <w:r w:rsidRPr="00BD14F5"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0C1D747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 xml:space="preserve">6.5 </w:t>
            </w:r>
            <w:r w:rsidRPr="00BD14F5">
              <w:rPr>
                <w:bCs/>
              </w:rPr>
              <w:t>(1.4)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476C7E1B" w14:textId="77777777" w:rsidR="005C487C" w:rsidRPr="00986A06" w:rsidRDefault="005C487C" w:rsidP="00F02E47">
            <w:pPr>
              <w:pStyle w:val="Table"/>
            </w:pPr>
            <w:r>
              <w:rPr>
                <w:b/>
                <w:bCs/>
              </w:rPr>
              <w:t>2.8</w:t>
            </w:r>
            <w:r>
              <w:t xml:space="preserve"> </w:t>
            </w:r>
            <w:r w:rsidRPr="00986A06">
              <w:t>(2.1)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282EBE4E" w14:textId="77777777" w:rsidR="005C487C" w:rsidRPr="00986A06" w:rsidRDefault="005C487C" w:rsidP="00F02E47">
            <w:pPr>
              <w:pStyle w:val="Table"/>
            </w:pPr>
            <w:r>
              <w:rPr>
                <w:b/>
                <w:bCs/>
              </w:rPr>
              <w:t>2.7</w:t>
            </w:r>
            <w:r>
              <w:t xml:space="preserve"> </w:t>
            </w:r>
            <w:r w:rsidRPr="00986A06">
              <w:t>(2.1)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</w:tcBorders>
            <w:vAlign w:val="center"/>
          </w:tcPr>
          <w:p w14:paraId="244790C7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>6.4</w:t>
            </w:r>
            <w:r>
              <w:rPr>
                <w:bCs/>
              </w:rPr>
              <w:t xml:space="preserve"> </w:t>
            </w:r>
            <w:r w:rsidRPr="00BD14F5">
              <w:rPr>
                <w:bCs/>
              </w:rPr>
              <w:t>(1.4)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6889DEFC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  <w:r>
              <w:t xml:space="preserve"> </w:t>
            </w:r>
            <w:r w:rsidRPr="00986A06">
              <w:t>(</w:t>
            </w:r>
            <w:r>
              <w:t>2.0</w:t>
            </w:r>
            <w:r w:rsidRPr="00986A06">
              <w:t>)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0C3C4856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  <w:r>
              <w:t xml:space="preserve"> </w:t>
            </w:r>
            <w:r w:rsidRPr="00986A06">
              <w:t>(</w:t>
            </w:r>
            <w:r>
              <w:t>2.0</w:t>
            </w:r>
            <w:r w:rsidRPr="00986A06">
              <w:t>)</w:t>
            </w:r>
          </w:p>
        </w:tc>
      </w:tr>
      <w:tr w:rsidR="005C487C" w:rsidRPr="00EA16FC" w14:paraId="257CEB5E" w14:textId="77777777" w:rsidTr="00F02E47">
        <w:trPr>
          <w:trHeight w:val="171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12E9D964" w14:textId="77777777" w:rsidR="005C487C" w:rsidRPr="00BD14F5" w:rsidRDefault="005C487C" w:rsidP="00F02E47">
            <w:pPr>
              <w:pStyle w:val="Table"/>
              <w:jc w:val="left"/>
            </w:pPr>
            <w:r w:rsidRPr="00BD14F5">
              <w:t>BASFI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04591FE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 xml:space="preserve">5.6 </w:t>
            </w:r>
            <w:r w:rsidRPr="00BD14F5">
              <w:rPr>
                <w:bCs/>
              </w:rPr>
              <w:t>(1.9)</w:t>
            </w:r>
          </w:p>
        </w:tc>
        <w:tc>
          <w:tcPr>
            <w:tcW w:w="992" w:type="dxa"/>
            <w:tcBorders>
              <w:top w:val="nil"/>
              <w:bottom w:val="nil"/>
            </w:tcBorders>
            <w:vAlign w:val="center"/>
          </w:tcPr>
          <w:p w14:paraId="77FE8DBE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3.0</w:t>
            </w:r>
            <w:r>
              <w:t xml:space="preserve"> </w:t>
            </w:r>
            <w:r w:rsidRPr="00BD14F5">
              <w:t>(2.</w:t>
            </w:r>
            <w:r>
              <w:t>0</w:t>
            </w:r>
            <w:r w:rsidRPr="00BD14F5">
              <w:t>)</w:t>
            </w:r>
          </w:p>
        </w:tc>
        <w:tc>
          <w:tcPr>
            <w:tcW w:w="851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7B90B55F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  <w:r>
              <w:t xml:space="preserve"> </w:t>
            </w:r>
            <w:r w:rsidRPr="00BD14F5">
              <w:t>(2</w:t>
            </w:r>
            <w:r>
              <w:t>.1</w:t>
            </w:r>
            <w:r w:rsidRPr="00BD14F5"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98AE762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 xml:space="preserve">5.8 </w:t>
            </w:r>
            <w:r w:rsidRPr="00BD14F5">
              <w:rPr>
                <w:bCs/>
              </w:rPr>
              <w:t>(2.0)</w:t>
            </w:r>
          </w:p>
        </w:tc>
        <w:tc>
          <w:tcPr>
            <w:tcW w:w="851" w:type="dxa"/>
            <w:tcBorders>
              <w:top w:val="nil"/>
              <w:bottom w:val="nil"/>
            </w:tcBorders>
            <w:vAlign w:val="center"/>
          </w:tcPr>
          <w:p w14:paraId="60DB8DC4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  <w:r w:rsidRPr="00BD14F5">
              <w:rPr>
                <w:b/>
                <w:bCs/>
              </w:rPr>
              <w:t>.</w:t>
            </w:r>
            <w:r>
              <w:rPr>
                <w:b/>
                <w:bCs/>
              </w:rPr>
              <w:t>0</w:t>
            </w:r>
            <w:r w:rsidRPr="00BD14F5">
              <w:rPr>
                <w:b/>
                <w:bCs/>
              </w:rPr>
              <w:t xml:space="preserve"> </w:t>
            </w:r>
            <w:r w:rsidRPr="00BD14F5">
              <w:t>(2.</w:t>
            </w:r>
            <w:r>
              <w:t>4</w:t>
            </w:r>
            <w:r w:rsidRPr="00BD14F5">
              <w:t>)</w:t>
            </w:r>
          </w:p>
        </w:tc>
        <w:tc>
          <w:tcPr>
            <w:tcW w:w="850" w:type="dxa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14:paraId="61DA7915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2.8</w:t>
            </w:r>
            <w:r>
              <w:rPr>
                <w:bCs/>
              </w:rPr>
              <w:t xml:space="preserve"> </w:t>
            </w:r>
            <w:r w:rsidRPr="00BD14F5">
              <w:rPr>
                <w:bCs/>
              </w:rPr>
              <w:t>(2.</w:t>
            </w:r>
            <w:r>
              <w:rPr>
                <w:bCs/>
              </w:rPr>
              <w:t>4</w:t>
            </w:r>
            <w:r w:rsidRPr="00BD14F5">
              <w:rPr>
                <w:bCs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5641584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>5.7</w:t>
            </w:r>
            <w:r>
              <w:rPr>
                <w:bCs/>
              </w:rPr>
              <w:t xml:space="preserve"> </w:t>
            </w:r>
            <w:r w:rsidRPr="00BD14F5">
              <w:rPr>
                <w:bCs/>
              </w:rPr>
              <w:t>(1.9)</w:t>
            </w:r>
          </w:p>
        </w:tc>
        <w:tc>
          <w:tcPr>
            <w:tcW w:w="992" w:type="dxa"/>
            <w:vAlign w:val="center"/>
          </w:tcPr>
          <w:p w14:paraId="3B9A183C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3.0</w:t>
            </w:r>
            <w:r w:rsidRPr="00BD14F5">
              <w:rPr>
                <w:b/>
                <w:bCs/>
              </w:rPr>
              <w:t xml:space="preserve"> </w:t>
            </w:r>
            <w:r w:rsidRPr="00BD14F5">
              <w:t>(2.2)</w:t>
            </w:r>
          </w:p>
        </w:tc>
        <w:tc>
          <w:tcPr>
            <w:tcW w:w="992" w:type="dxa"/>
            <w:vAlign w:val="center"/>
          </w:tcPr>
          <w:p w14:paraId="21A080E1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>2.</w:t>
            </w:r>
            <w:r>
              <w:rPr>
                <w:b/>
                <w:bCs/>
              </w:rPr>
              <w:t>8</w:t>
            </w:r>
            <w:r>
              <w:rPr>
                <w:bCs/>
              </w:rPr>
              <w:t xml:space="preserve"> </w:t>
            </w:r>
            <w:r w:rsidRPr="00BD14F5">
              <w:rPr>
                <w:bCs/>
              </w:rPr>
              <w:t>(2.2)</w:t>
            </w:r>
          </w:p>
        </w:tc>
      </w:tr>
      <w:tr w:rsidR="005C487C" w:rsidRPr="00EA16FC" w14:paraId="291C2FF8" w14:textId="77777777" w:rsidTr="00F02E47">
        <w:trPr>
          <w:trHeight w:val="171"/>
        </w:trPr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14:paraId="445E2E65" w14:textId="77777777" w:rsidR="005C487C" w:rsidRPr="00BD14F5" w:rsidRDefault="005C487C" w:rsidP="00F02E47">
            <w:pPr>
              <w:pStyle w:val="Table"/>
              <w:jc w:val="left"/>
            </w:pPr>
            <w:r w:rsidRPr="00BD14F5">
              <w:t>BASMI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C26A9D6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 xml:space="preserve">4.6 </w:t>
            </w:r>
            <w:r w:rsidRPr="00BD14F5">
              <w:rPr>
                <w:bCs/>
              </w:rPr>
              <w:t>(1.7)</w:t>
            </w:r>
          </w:p>
        </w:tc>
        <w:tc>
          <w:tcPr>
            <w:tcW w:w="992" w:type="dxa"/>
            <w:tcBorders>
              <w:top w:val="nil"/>
              <w:bottom w:val="single" w:sz="4" w:space="0" w:color="auto"/>
            </w:tcBorders>
            <w:vAlign w:val="center"/>
          </w:tcPr>
          <w:p w14:paraId="224E6C15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4.0</w:t>
            </w:r>
            <w:r>
              <w:rPr>
                <w:bCs/>
              </w:rPr>
              <w:t xml:space="preserve"> </w:t>
            </w:r>
            <w:r w:rsidRPr="00BD14F5">
              <w:rPr>
                <w:bCs/>
              </w:rPr>
              <w:t>(</w:t>
            </w:r>
            <w:r>
              <w:rPr>
                <w:bCs/>
              </w:rPr>
              <w:t>1.8</w:t>
            </w:r>
            <w:r w:rsidRPr="00BD14F5">
              <w:rPr>
                <w:bCs/>
              </w:rPr>
              <w:t>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95267D" w14:textId="77777777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3.9</w:t>
            </w:r>
            <w:r>
              <w:rPr>
                <w:bCs/>
              </w:rPr>
              <w:t xml:space="preserve"> </w:t>
            </w:r>
            <w:r w:rsidRPr="00BD14F5">
              <w:rPr>
                <w:bCs/>
              </w:rPr>
              <w:t>(1.</w:t>
            </w:r>
            <w:r>
              <w:rPr>
                <w:bCs/>
              </w:rPr>
              <w:t>7</w:t>
            </w:r>
            <w:r w:rsidRPr="00BD14F5">
              <w:rPr>
                <w:bCs/>
              </w:rPr>
              <w:t>)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5F2607A" w14:textId="40A5EEA3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>4.8</w:t>
            </w:r>
            <w:r w:rsidR="00521736" w:rsidRPr="00521736">
              <w:rPr>
                <w:vertAlign w:val="superscript"/>
              </w:rPr>
              <w:t>a</w:t>
            </w:r>
            <w:r w:rsidRPr="00BD14F5">
              <w:rPr>
                <w:b/>
                <w:bCs/>
              </w:rPr>
              <w:t xml:space="preserve"> </w:t>
            </w:r>
            <w:r w:rsidRPr="00BD14F5">
              <w:rPr>
                <w:bCs/>
              </w:rPr>
              <w:t>(1.7)</w:t>
            </w:r>
          </w:p>
        </w:tc>
        <w:tc>
          <w:tcPr>
            <w:tcW w:w="851" w:type="dxa"/>
            <w:tcBorders>
              <w:top w:val="nil"/>
              <w:bottom w:val="single" w:sz="4" w:space="0" w:color="auto"/>
            </w:tcBorders>
            <w:vAlign w:val="center"/>
          </w:tcPr>
          <w:p w14:paraId="2E6C04B5" w14:textId="38C0ABE5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3.9</w:t>
            </w:r>
            <w:r w:rsidR="00521736" w:rsidRPr="00521736">
              <w:rPr>
                <w:vertAlign w:val="superscript"/>
              </w:rPr>
              <w:t>a</w:t>
            </w:r>
            <w:r>
              <w:rPr>
                <w:bCs/>
              </w:rPr>
              <w:t xml:space="preserve"> </w:t>
            </w:r>
            <w:r w:rsidRPr="00BD14F5">
              <w:rPr>
                <w:bCs/>
              </w:rPr>
              <w:t>(</w:t>
            </w:r>
            <w:r>
              <w:rPr>
                <w:bCs/>
              </w:rPr>
              <w:t>1.8</w:t>
            </w:r>
            <w:r w:rsidRPr="00BD14F5">
              <w:rPr>
                <w:bCs/>
              </w:rPr>
              <w:t>)</w:t>
            </w:r>
          </w:p>
        </w:tc>
        <w:tc>
          <w:tcPr>
            <w:tcW w:w="850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FD6C2C" w14:textId="528F515F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3.9</w:t>
            </w:r>
            <w:r w:rsidR="00521736" w:rsidRPr="00521736">
              <w:rPr>
                <w:vertAlign w:val="superscript"/>
              </w:rPr>
              <w:t>a</w:t>
            </w:r>
            <w:r>
              <w:rPr>
                <w:bCs/>
              </w:rPr>
              <w:t xml:space="preserve"> </w:t>
            </w:r>
            <w:r w:rsidRPr="00BD14F5">
              <w:rPr>
                <w:bCs/>
              </w:rPr>
              <w:t>(</w:t>
            </w:r>
            <w:r>
              <w:rPr>
                <w:bCs/>
              </w:rPr>
              <w:t>1.9</w:t>
            </w:r>
            <w:r w:rsidRPr="00BD14F5">
              <w:rPr>
                <w:bCs/>
              </w:rPr>
              <w:t>)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vAlign w:val="center"/>
          </w:tcPr>
          <w:p w14:paraId="152B945A" w14:textId="5F3199E7" w:rsidR="005C487C" w:rsidRPr="00BD14F5" w:rsidRDefault="005C487C" w:rsidP="00F02E47">
            <w:pPr>
              <w:pStyle w:val="Table"/>
              <w:rPr>
                <w:b/>
                <w:bCs/>
              </w:rPr>
            </w:pPr>
            <w:r w:rsidRPr="00BD14F5">
              <w:rPr>
                <w:b/>
                <w:bCs/>
              </w:rPr>
              <w:t>4.7</w:t>
            </w:r>
            <w:r w:rsidR="00521736" w:rsidRPr="00521736">
              <w:rPr>
                <w:vertAlign w:val="superscript"/>
              </w:rPr>
              <w:t>b</w:t>
            </w:r>
            <w:r w:rsidRPr="00BD14F5">
              <w:rPr>
                <w:b/>
                <w:bCs/>
              </w:rPr>
              <w:t xml:space="preserve"> </w:t>
            </w:r>
            <w:r w:rsidRPr="00BD14F5">
              <w:rPr>
                <w:bCs/>
              </w:rPr>
              <w:t>(1.7)</w:t>
            </w:r>
          </w:p>
        </w:tc>
        <w:tc>
          <w:tcPr>
            <w:tcW w:w="992" w:type="dxa"/>
            <w:vAlign w:val="center"/>
          </w:tcPr>
          <w:p w14:paraId="43E6F54C" w14:textId="0CEA1E72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4.0</w:t>
            </w:r>
            <w:r w:rsidR="00521736" w:rsidRPr="00521736">
              <w:rPr>
                <w:vertAlign w:val="superscript"/>
              </w:rPr>
              <w:t>b</w:t>
            </w:r>
            <w:r>
              <w:rPr>
                <w:bCs/>
              </w:rPr>
              <w:t xml:space="preserve"> </w:t>
            </w:r>
            <w:r w:rsidRPr="00BD14F5">
              <w:rPr>
                <w:bCs/>
              </w:rPr>
              <w:t>(</w:t>
            </w:r>
            <w:r>
              <w:rPr>
                <w:bCs/>
              </w:rPr>
              <w:t>1.8</w:t>
            </w:r>
            <w:r w:rsidRPr="00BD14F5">
              <w:rPr>
                <w:bCs/>
              </w:rPr>
              <w:t>)</w:t>
            </w:r>
          </w:p>
        </w:tc>
        <w:tc>
          <w:tcPr>
            <w:tcW w:w="992" w:type="dxa"/>
            <w:vAlign w:val="center"/>
          </w:tcPr>
          <w:p w14:paraId="0E5D3739" w14:textId="0C9EA1A2" w:rsidR="005C487C" w:rsidRPr="00BD14F5" w:rsidRDefault="005C487C" w:rsidP="00F02E47">
            <w:pPr>
              <w:pStyle w:val="Table"/>
              <w:rPr>
                <w:b/>
                <w:bCs/>
              </w:rPr>
            </w:pPr>
            <w:r>
              <w:rPr>
                <w:b/>
                <w:bCs/>
              </w:rPr>
              <w:t>3.9</w:t>
            </w:r>
            <w:r w:rsidR="00521736" w:rsidRPr="00521736">
              <w:rPr>
                <w:vertAlign w:val="superscript"/>
              </w:rPr>
              <w:t>b</w:t>
            </w:r>
            <w:r>
              <w:rPr>
                <w:bCs/>
              </w:rPr>
              <w:t xml:space="preserve"> </w:t>
            </w:r>
            <w:r w:rsidRPr="00BD14F5">
              <w:rPr>
                <w:bCs/>
              </w:rPr>
              <w:t>(1.</w:t>
            </w:r>
            <w:r>
              <w:rPr>
                <w:bCs/>
              </w:rPr>
              <w:t>8</w:t>
            </w:r>
            <w:r w:rsidRPr="00BD14F5">
              <w:rPr>
                <w:bCs/>
              </w:rPr>
              <w:t>)</w:t>
            </w:r>
          </w:p>
        </w:tc>
      </w:tr>
    </w:tbl>
    <w:p w14:paraId="4436D9C6" w14:textId="4584CAF4" w:rsidR="00BD6ECB" w:rsidRDefault="00521736" w:rsidP="00986797">
      <w:pPr>
        <w:spacing w:line="240" w:lineRule="auto"/>
        <w:rPr>
          <w:b/>
          <w:bCs/>
          <w:lang w:val="en-GB"/>
        </w:rPr>
      </w:pPr>
      <w:r w:rsidRPr="00521736">
        <w:rPr>
          <w:sz w:val="18"/>
          <w:szCs w:val="18"/>
          <w:vertAlign w:val="superscript"/>
        </w:rPr>
        <w:t>a</w:t>
      </w:r>
      <w:r>
        <w:rPr>
          <w:sz w:val="18"/>
          <w:szCs w:val="18"/>
        </w:rPr>
        <w:t xml:space="preserve">n=123; </w:t>
      </w:r>
      <w:r w:rsidRPr="00521736">
        <w:rPr>
          <w:sz w:val="18"/>
          <w:szCs w:val="18"/>
          <w:vertAlign w:val="superscript"/>
        </w:rPr>
        <w:t>b</w:t>
      </w:r>
      <w:r>
        <w:rPr>
          <w:sz w:val="18"/>
          <w:szCs w:val="18"/>
        </w:rPr>
        <w:t xml:space="preserve">n=253. </w:t>
      </w:r>
      <w:r w:rsidR="005C487C" w:rsidRPr="00D90377">
        <w:rPr>
          <w:sz w:val="18"/>
          <w:szCs w:val="18"/>
        </w:rPr>
        <w:t xml:space="preserve">Full Analysis Set (N=254). BL corresponds to BE AGILE study BL. </w:t>
      </w:r>
      <w:r w:rsidR="005C487C" w:rsidRPr="00D90377">
        <w:rPr>
          <w:sz w:val="18"/>
          <w:szCs w:val="18"/>
          <w:lang w:val="en-GB"/>
        </w:rPr>
        <w:t xml:space="preserve">ASAS: Assessment of </w:t>
      </w:r>
      <w:proofErr w:type="spellStart"/>
      <w:r w:rsidR="005C487C" w:rsidRPr="00D90377">
        <w:rPr>
          <w:sz w:val="18"/>
          <w:szCs w:val="18"/>
          <w:lang w:val="en-GB"/>
        </w:rPr>
        <w:t>SpondyloArthritis</w:t>
      </w:r>
      <w:proofErr w:type="spellEnd"/>
      <w:r w:rsidR="005C487C" w:rsidRPr="00D90377">
        <w:rPr>
          <w:sz w:val="18"/>
          <w:szCs w:val="18"/>
          <w:lang w:val="en-GB"/>
        </w:rPr>
        <w:t xml:space="preserve"> international Society; ASAS20/40: ASAS 20%/40% response; ASAS</w:t>
      </w:r>
      <w:r w:rsidR="009D39BE">
        <w:rPr>
          <w:sz w:val="18"/>
          <w:szCs w:val="18"/>
          <w:lang w:val="en-GB"/>
        </w:rPr>
        <w:t xml:space="preserve"> </w:t>
      </w:r>
      <w:r w:rsidR="005C487C" w:rsidRPr="00D90377">
        <w:rPr>
          <w:sz w:val="18"/>
          <w:szCs w:val="18"/>
          <w:lang w:val="en-GB"/>
        </w:rPr>
        <w:t xml:space="preserve">PR: ASAS partial remission; </w:t>
      </w:r>
      <w:r w:rsidR="005C487C" w:rsidRPr="00D90377">
        <w:rPr>
          <w:sz w:val="18"/>
          <w:szCs w:val="18"/>
        </w:rPr>
        <w:t>ASDAS: Ankylosing Spondylitis Disease Activity Score; BASDAI: Bath Ankylosing Spondylitis Disease Activity Index; BASFI: Bath Ankylosing Spondylitis Functional Index; BASMI: Bath Ankylosing Spondylitis Metrology Index; BKZ: bimekizumab; BL: baseline; CRP: C</w:t>
      </w:r>
      <w:r w:rsidR="005C487C" w:rsidRPr="00D90377">
        <w:rPr>
          <w:sz w:val="18"/>
          <w:szCs w:val="18"/>
        </w:rPr>
        <w:noBreakHyphen/>
        <w:t>reactive protein; ID: inactive disease (ASDAS&lt;1.3); OLE: open-label extension; SD: standard deviation.</w:t>
      </w:r>
    </w:p>
    <w:sectPr w:rsidR="00BD6ECB" w:rsidSect="001B300D">
      <w:footerReference w:type="default" r:id="rId10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208C17" w14:textId="77777777" w:rsidR="00175741" w:rsidRDefault="00175741" w:rsidP="00175741">
      <w:pPr>
        <w:spacing w:after="0" w:line="240" w:lineRule="auto"/>
      </w:pPr>
      <w:r>
        <w:separator/>
      </w:r>
    </w:p>
  </w:endnote>
  <w:endnote w:type="continuationSeparator" w:id="0">
    <w:p w14:paraId="0A579E47" w14:textId="77777777" w:rsidR="00175741" w:rsidRDefault="00175741" w:rsidP="001757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63191" w14:textId="4CD9785E" w:rsidR="00175741" w:rsidRPr="00175741" w:rsidRDefault="00175741">
    <w:pPr>
      <w:pStyle w:val="Footer"/>
      <w:rPr>
        <w:lang w:val="en-GB"/>
      </w:rPr>
    </w:pPr>
    <w:r>
      <w:rPr>
        <w:lang w:val="en-GB"/>
      </w:rPr>
      <w:t>Previously presented at ACR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DF0C5A" w14:textId="77777777" w:rsidR="00175741" w:rsidRDefault="00175741" w:rsidP="00175741">
      <w:pPr>
        <w:spacing w:after="0" w:line="240" w:lineRule="auto"/>
      </w:pPr>
      <w:r>
        <w:separator/>
      </w:r>
    </w:p>
  </w:footnote>
  <w:footnote w:type="continuationSeparator" w:id="0">
    <w:p w14:paraId="5F566088" w14:textId="77777777" w:rsidR="00175741" w:rsidRDefault="00175741" w:rsidP="0017574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BE3258"/>
    <w:multiLevelType w:val="hybridMultilevel"/>
    <w:tmpl w:val="C33088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16269E"/>
    <w:multiLevelType w:val="hybridMultilevel"/>
    <w:tmpl w:val="8A6A8B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0089C"/>
    <w:multiLevelType w:val="hybridMultilevel"/>
    <w:tmpl w:val="89F858D0"/>
    <w:lvl w:ilvl="0" w:tplc="FD461360">
      <w:start w:val="3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D7828"/>
    <w:multiLevelType w:val="hybridMultilevel"/>
    <w:tmpl w:val="D7BCD85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56283D"/>
    <w:multiLevelType w:val="hybridMultilevel"/>
    <w:tmpl w:val="B7D05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8B7CF4"/>
    <w:multiLevelType w:val="hybridMultilevel"/>
    <w:tmpl w:val="7BA251DC"/>
    <w:lvl w:ilvl="0" w:tplc="28221D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4C1600"/>
    <w:multiLevelType w:val="hybridMultilevel"/>
    <w:tmpl w:val="59FA1D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2A05"/>
    <w:rsid w:val="0000280E"/>
    <w:rsid w:val="00006494"/>
    <w:rsid w:val="00010CE9"/>
    <w:rsid w:val="00010E8B"/>
    <w:rsid w:val="000115CA"/>
    <w:rsid w:val="0001339E"/>
    <w:rsid w:val="00013A16"/>
    <w:rsid w:val="0001449B"/>
    <w:rsid w:val="00021966"/>
    <w:rsid w:val="00021CE9"/>
    <w:rsid w:val="00022A74"/>
    <w:rsid w:val="00025BD1"/>
    <w:rsid w:val="00027BCA"/>
    <w:rsid w:val="000335A1"/>
    <w:rsid w:val="00042610"/>
    <w:rsid w:val="000444AA"/>
    <w:rsid w:val="00046481"/>
    <w:rsid w:val="00050398"/>
    <w:rsid w:val="00053969"/>
    <w:rsid w:val="00055FC5"/>
    <w:rsid w:val="000564EA"/>
    <w:rsid w:val="00056C26"/>
    <w:rsid w:val="0006034E"/>
    <w:rsid w:val="00067715"/>
    <w:rsid w:val="00080284"/>
    <w:rsid w:val="000807CB"/>
    <w:rsid w:val="0008116A"/>
    <w:rsid w:val="00083064"/>
    <w:rsid w:val="00087989"/>
    <w:rsid w:val="00091E0E"/>
    <w:rsid w:val="0009312C"/>
    <w:rsid w:val="000953CA"/>
    <w:rsid w:val="000A22AF"/>
    <w:rsid w:val="000A76DF"/>
    <w:rsid w:val="000B53CC"/>
    <w:rsid w:val="000B655B"/>
    <w:rsid w:val="000C0EEB"/>
    <w:rsid w:val="000C13B2"/>
    <w:rsid w:val="000C1937"/>
    <w:rsid w:val="000C40FC"/>
    <w:rsid w:val="000D2853"/>
    <w:rsid w:val="000E414A"/>
    <w:rsid w:val="000F3555"/>
    <w:rsid w:val="000F505A"/>
    <w:rsid w:val="001037DE"/>
    <w:rsid w:val="00115812"/>
    <w:rsid w:val="001201D6"/>
    <w:rsid w:val="001258E9"/>
    <w:rsid w:val="00126747"/>
    <w:rsid w:val="00133C0E"/>
    <w:rsid w:val="00136989"/>
    <w:rsid w:val="00136B4B"/>
    <w:rsid w:val="00152415"/>
    <w:rsid w:val="001541A7"/>
    <w:rsid w:val="00154F0B"/>
    <w:rsid w:val="00157C8F"/>
    <w:rsid w:val="001651A8"/>
    <w:rsid w:val="001679DF"/>
    <w:rsid w:val="001700AB"/>
    <w:rsid w:val="001724AF"/>
    <w:rsid w:val="00175123"/>
    <w:rsid w:val="00175741"/>
    <w:rsid w:val="0017594F"/>
    <w:rsid w:val="00180912"/>
    <w:rsid w:val="00180AAE"/>
    <w:rsid w:val="0019230A"/>
    <w:rsid w:val="001923F2"/>
    <w:rsid w:val="001A76E4"/>
    <w:rsid w:val="001B0F99"/>
    <w:rsid w:val="001B300D"/>
    <w:rsid w:val="001B3819"/>
    <w:rsid w:val="001B39ED"/>
    <w:rsid w:val="001B430B"/>
    <w:rsid w:val="001C3D44"/>
    <w:rsid w:val="001C63E7"/>
    <w:rsid w:val="001D4EAC"/>
    <w:rsid w:val="001E1FC3"/>
    <w:rsid w:val="001E33CA"/>
    <w:rsid w:val="001E45D8"/>
    <w:rsid w:val="001E7601"/>
    <w:rsid w:val="001E7607"/>
    <w:rsid w:val="001F3D2A"/>
    <w:rsid w:val="001F7A8E"/>
    <w:rsid w:val="002027A3"/>
    <w:rsid w:val="00203690"/>
    <w:rsid w:val="00204A06"/>
    <w:rsid w:val="00206ACE"/>
    <w:rsid w:val="00211AB5"/>
    <w:rsid w:val="00212BFB"/>
    <w:rsid w:val="002147BF"/>
    <w:rsid w:val="00214BF9"/>
    <w:rsid w:val="002173B2"/>
    <w:rsid w:val="00217578"/>
    <w:rsid w:val="0021769A"/>
    <w:rsid w:val="00222267"/>
    <w:rsid w:val="00222FE3"/>
    <w:rsid w:val="002305B9"/>
    <w:rsid w:val="0023218B"/>
    <w:rsid w:val="002410A6"/>
    <w:rsid w:val="00244971"/>
    <w:rsid w:val="00254434"/>
    <w:rsid w:val="002565B4"/>
    <w:rsid w:val="00257CCB"/>
    <w:rsid w:val="002620A9"/>
    <w:rsid w:val="0026489A"/>
    <w:rsid w:val="002751B9"/>
    <w:rsid w:val="002767C4"/>
    <w:rsid w:val="00277BA3"/>
    <w:rsid w:val="002804A3"/>
    <w:rsid w:val="00284738"/>
    <w:rsid w:val="00287E70"/>
    <w:rsid w:val="00291156"/>
    <w:rsid w:val="00293D41"/>
    <w:rsid w:val="00296DCD"/>
    <w:rsid w:val="00296EA1"/>
    <w:rsid w:val="002A0D5B"/>
    <w:rsid w:val="002A587A"/>
    <w:rsid w:val="002A6CDE"/>
    <w:rsid w:val="002B28F0"/>
    <w:rsid w:val="002B44AF"/>
    <w:rsid w:val="002B4FE6"/>
    <w:rsid w:val="002B6823"/>
    <w:rsid w:val="002C03FF"/>
    <w:rsid w:val="002C2A18"/>
    <w:rsid w:val="002C3874"/>
    <w:rsid w:val="002C5E21"/>
    <w:rsid w:val="002C5E99"/>
    <w:rsid w:val="002C7538"/>
    <w:rsid w:val="002D552D"/>
    <w:rsid w:val="002D7949"/>
    <w:rsid w:val="002F020D"/>
    <w:rsid w:val="002F28C7"/>
    <w:rsid w:val="002F346C"/>
    <w:rsid w:val="002F5A9B"/>
    <w:rsid w:val="00304990"/>
    <w:rsid w:val="00311ABF"/>
    <w:rsid w:val="003143BC"/>
    <w:rsid w:val="00317E13"/>
    <w:rsid w:val="00331B1E"/>
    <w:rsid w:val="00332054"/>
    <w:rsid w:val="00333A8B"/>
    <w:rsid w:val="00336FDE"/>
    <w:rsid w:val="00342BCE"/>
    <w:rsid w:val="0034314F"/>
    <w:rsid w:val="003516A4"/>
    <w:rsid w:val="00354F77"/>
    <w:rsid w:val="00357394"/>
    <w:rsid w:val="003779BA"/>
    <w:rsid w:val="003841B1"/>
    <w:rsid w:val="00384D90"/>
    <w:rsid w:val="00394E9F"/>
    <w:rsid w:val="0039540C"/>
    <w:rsid w:val="003969E7"/>
    <w:rsid w:val="0039789A"/>
    <w:rsid w:val="003A00A7"/>
    <w:rsid w:val="003A18EA"/>
    <w:rsid w:val="003A3A0E"/>
    <w:rsid w:val="003A5AB0"/>
    <w:rsid w:val="003B0AD5"/>
    <w:rsid w:val="003B39BE"/>
    <w:rsid w:val="003B627B"/>
    <w:rsid w:val="003B67DE"/>
    <w:rsid w:val="003B77E5"/>
    <w:rsid w:val="003C3D67"/>
    <w:rsid w:val="003C4735"/>
    <w:rsid w:val="003C6C96"/>
    <w:rsid w:val="003D0A90"/>
    <w:rsid w:val="003D4B9C"/>
    <w:rsid w:val="003E2CF5"/>
    <w:rsid w:val="003E3103"/>
    <w:rsid w:val="003E59D1"/>
    <w:rsid w:val="003E71CC"/>
    <w:rsid w:val="003F4F8A"/>
    <w:rsid w:val="003F75F0"/>
    <w:rsid w:val="00412CE0"/>
    <w:rsid w:val="00414F57"/>
    <w:rsid w:val="00415142"/>
    <w:rsid w:val="00415C85"/>
    <w:rsid w:val="00421F64"/>
    <w:rsid w:val="00422120"/>
    <w:rsid w:val="00422BFE"/>
    <w:rsid w:val="00423C42"/>
    <w:rsid w:val="00426EA4"/>
    <w:rsid w:val="0042714D"/>
    <w:rsid w:val="00427411"/>
    <w:rsid w:val="0043167E"/>
    <w:rsid w:val="004340AA"/>
    <w:rsid w:val="00436540"/>
    <w:rsid w:val="004400D7"/>
    <w:rsid w:val="004405DD"/>
    <w:rsid w:val="00440A03"/>
    <w:rsid w:val="00440C51"/>
    <w:rsid w:val="00442B14"/>
    <w:rsid w:val="00442D7C"/>
    <w:rsid w:val="00446883"/>
    <w:rsid w:val="00453430"/>
    <w:rsid w:val="00453518"/>
    <w:rsid w:val="0047543E"/>
    <w:rsid w:val="00475B18"/>
    <w:rsid w:val="00475D7D"/>
    <w:rsid w:val="0047764A"/>
    <w:rsid w:val="00484366"/>
    <w:rsid w:val="004852FB"/>
    <w:rsid w:val="00486065"/>
    <w:rsid w:val="00486998"/>
    <w:rsid w:val="004937EF"/>
    <w:rsid w:val="00496B18"/>
    <w:rsid w:val="004A1F4C"/>
    <w:rsid w:val="004A45C8"/>
    <w:rsid w:val="004B6786"/>
    <w:rsid w:val="004B6DCF"/>
    <w:rsid w:val="004C21D1"/>
    <w:rsid w:val="004C2874"/>
    <w:rsid w:val="004C61C2"/>
    <w:rsid w:val="004C6ECC"/>
    <w:rsid w:val="004D0159"/>
    <w:rsid w:val="004D04CF"/>
    <w:rsid w:val="004D1163"/>
    <w:rsid w:val="004D1168"/>
    <w:rsid w:val="004D3747"/>
    <w:rsid w:val="004D5720"/>
    <w:rsid w:val="004D58BB"/>
    <w:rsid w:val="004E0FD3"/>
    <w:rsid w:val="004E2670"/>
    <w:rsid w:val="004E651E"/>
    <w:rsid w:val="00502A03"/>
    <w:rsid w:val="00503D16"/>
    <w:rsid w:val="00504C5A"/>
    <w:rsid w:val="005053A7"/>
    <w:rsid w:val="005069B7"/>
    <w:rsid w:val="005075EA"/>
    <w:rsid w:val="00510179"/>
    <w:rsid w:val="00513F8E"/>
    <w:rsid w:val="005151EC"/>
    <w:rsid w:val="00520FA9"/>
    <w:rsid w:val="00521310"/>
    <w:rsid w:val="00521736"/>
    <w:rsid w:val="00524E0E"/>
    <w:rsid w:val="005255B8"/>
    <w:rsid w:val="00530390"/>
    <w:rsid w:val="005311A2"/>
    <w:rsid w:val="00534001"/>
    <w:rsid w:val="005355BE"/>
    <w:rsid w:val="00537C8F"/>
    <w:rsid w:val="005424AB"/>
    <w:rsid w:val="00544F19"/>
    <w:rsid w:val="005469D0"/>
    <w:rsid w:val="005520B6"/>
    <w:rsid w:val="00555BEB"/>
    <w:rsid w:val="0056033E"/>
    <w:rsid w:val="00562A05"/>
    <w:rsid w:val="00562A07"/>
    <w:rsid w:val="005648C2"/>
    <w:rsid w:val="00565B2D"/>
    <w:rsid w:val="005762D1"/>
    <w:rsid w:val="005811EB"/>
    <w:rsid w:val="00583C82"/>
    <w:rsid w:val="0058768D"/>
    <w:rsid w:val="005922A1"/>
    <w:rsid w:val="005940D9"/>
    <w:rsid w:val="00597295"/>
    <w:rsid w:val="005B0B4E"/>
    <w:rsid w:val="005B6ED4"/>
    <w:rsid w:val="005C0412"/>
    <w:rsid w:val="005C1676"/>
    <w:rsid w:val="005C487C"/>
    <w:rsid w:val="005C4D74"/>
    <w:rsid w:val="005D3EE1"/>
    <w:rsid w:val="005D4550"/>
    <w:rsid w:val="005E4E71"/>
    <w:rsid w:val="005E5803"/>
    <w:rsid w:val="005F1906"/>
    <w:rsid w:val="005F46C0"/>
    <w:rsid w:val="006011E0"/>
    <w:rsid w:val="00602A5E"/>
    <w:rsid w:val="006051D2"/>
    <w:rsid w:val="00606350"/>
    <w:rsid w:val="00606FD7"/>
    <w:rsid w:val="00610305"/>
    <w:rsid w:val="006105B0"/>
    <w:rsid w:val="0061076D"/>
    <w:rsid w:val="00612C7C"/>
    <w:rsid w:val="00613D7D"/>
    <w:rsid w:val="006402A7"/>
    <w:rsid w:val="0064414B"/>
    <w:rsid w:val="00645C0E"/>
    <w:rsid w:val="00650A3A"/>
    <w:rsid w:val="00665520"/>
    <w:rsid w:val="006657DF"/>
    <w:rsid w:val="006672B0"/>
    <w:rsid w:val="006743C4"/>
    <w:rsid w:val="00681CAF"/>
    <w:rsid w:val="00682A60"/>
    <w:rsid w:val="00686739"/>
    <w:rsid w:val="00691ED0"/>
    <w:rsid w:val="00695065"/>
    <w:rsid w:val="006963FC"/>
    <w:rsid w:val="00697E02"/>
    <w:rsid w:val="006A735F"/>
    <w:rsid w:val="006B3261"/>
    <w:rsid w:val="006B3A98"/>
    <w:rsid w:val="006B4D2F"/>
    <w:rsid w:val="006B69CF"/>
    <w:rsid w:val="006B7F6F"/>
    <w:rsid w:val="006C27E2"/>
    <w:rsid w:val="006C31BE"/>
    <w:rsid w:val="006C69E7"/>
    <w:rsid w:val="006D2102"/>
    <w:rsid w:val="006D5721"/>
    <w:rsid w:val="006E4E81"/>
    <w:rsid w:val="006E5FD1"/>
    <w:rsid w:val="006E771C"/>
    <w:rsid w:val="00701304"/>
    <w:rsid w:val="00703954"/>
    <w:rsid w:val="00703FE3"/>
    <w:rsid w:val="007040F1"/>
    <w:rsid w:val="00704608"/>
    <w:rsid w:val="00706407"/>
    <w:rsid w:val="007137D3"/>
    <w:rsid w:val="0072167A"/>
    <w:rsid w:val="00723E55"/>
    <w:rsid w:val="00725B32"/>
    <w:rsid w:val="00725E20"/>
    <w:rsid w:val="00726B85"/>
    <w:rsid w:val="00732AC0"/>
    <w:rsid w:val="00740F84"/>
    <w:rsid w:val="007425E5"/>
    <w:rsid w:val="00744CAE"/>
    <w:rsid w:val="0074668B"/>
    <w:rsid w:val="00760DFF"/>
    <w:rsid w:val="00761B97"/>
    <w:rsid w:val="00784573"/>
    <w:rsid w:val="00785BF7"/>
    <w:rsid w:val="007935B4"/>
    <w:rsid w:val="007940AD"/>
    <w:rsid w:val="0079472A"/>
    <w:rsid w:val="007972B3"/>
    <w:rsid w:val="007A04F6"/>
    <w:rsid w:val="007A1A86"/>
    <w:rsid w:val="007A2246"/>
    <w:rsid w:val="007A587C"/>
    <w:rsid w:val="007B3FED"/>
    <w:rsid w:val="007B6BC2"/>
    <w:rsid w:val="007C6302"/>
    <w:rsid w:val="007D2C96"/>
    <w:rsid w:val="007D3402"/>
    <w:rsid w:val="007D3AE8"/>
    <w:rsid w:val="007D7ADD"/>
    <w:rsid w:val="007E00B4"/>
    <w:rsid w:val="007E067B"/>
    <w:rsid w:val="007E387C"/>
    <w:rsid w:val="007F08C8"/>
    <w:rsid w:val="007F2982"/>
    <w:rsid w:val="008032B7"/>
    <w:rsid w:val="00806CC6"/>
    <w:rsid w:val="00806FC5"/>
    <w:rsid w:val="0081694F"/>
    <w:rsid w:val="0082149C"/>
    <w:rsid w:val="00822B52"/>
    <w:rsid w:val="00823248"/>
    <w:rsid w:val="0082399D"/>
    <w:rsid w:val="008247C8"/>
    <w:rsid w:val="008254D1"/>
    <w:rsid w:val="00826E39"/>
    <w:rsid w:val="00834001"/>
    <w:rsid w:val="00835759"/>
    <w:rsid w:val="00837AAA"/>
    <w:rsid w:val="00843190"/>
    <w:rsid w:val="0084602B"/>
    <w:rsid w:val="0085287D"/>
    <w:rsid w:val="008542E5"/>
    <w:rsid w:val="008546B7"/>
    <w:rsid w:val="008631A4"/>
    <w:rsid w:val="008651CD"/>
    <w:rsid w:val="00867589"/>
    <w:rsid w:val="00871411"/>
    <w:rsid w:val="00873081"/>
    <w:rsid w:val="00874278"/>
    <w:rsid w:val="008806A9"/>
    <w:rsid w:val="00881C6C"/>
    <w:rsid w:val="00883EA3"/>
    <w:rsid w:val="00886419"/>
    <w:rsid w:val="0089325C"/>
    <w:rsid w:val="008A5340"/>
    <w:rsid w:val="008A5E01"/>
    <w:rsid w:val="008A6589"/>
    <w:rsid w:val="008A699D"/>
    <w:rsid w:val="008B00E4"/>
    <w:rsid w:val="008B24AE"/>
    <w:rsid w:val="008B319C"/>
    <w:rsid w:val="008B4908"/>
    <w:rsid w:val="008B4F69"/>
    <w:rsid w:val="008C7798"/>
    <w:rsid w:val="008D0B9D"/>
    <w:rsid w:val="008D69A3"/>
    <w:rsid w:val="008D7E3E"/>
    <w:rsid w:val="008E3F94"/>
    <w:rsid w:val="008E4F64"/>
    <w:rsid w:val="008E5121"/>
    <w:rsid w:val="008E517C"/>
    <w:rsid w:val="008F1C84"/>
    <w:rsid w:val="008F5384"/>
    <w:rsid w:val="008F5925"/>
    <w:rsid w:val="008F71A9"/>
    <w:rsid w:val="00901213"/>
    <w:rsid w:val="00903365"/>
    <w:rsid w:val="009033DF"/>
    <w:rsid w:val="00914B91"/>
    <w:rsid w:val="009153B8"/>
    <w:rsid w:val="00920545"/>
    <w:rsid w:val="00924615"/>
    <w:rsid w:val="00924FE4"/>
    <w:rsid w:val="0093688B"/>
    <w:rsid w:val="00936A45"/>
    <w:rsid w:val="00954401"/>
    <w:rsid w:val="0096422F"/>
    <w:rsid w:val="0096659E"/>
    <w:rsid w:val="00981B40"/>
    <w:rsid w:val="00982ADA"/>
    <w:rsid w:val="00983617"/>
    <w:rsid w:val="0098454D"/>
    <w:rsid w:val="0098495C"/>
    <w:rsid w:val="009858CD"/>
    <w:rsid w:val="00985A3C"/>
    <w:rsid w:val="00986797"/>
    <w:rsid w:val="00986A06"/>
    <w:rsid w:val="00994049"/>
    <w:rsid w:val="009A4AD1"/>
    <w:rsid w:val="009A56D2"/>
    <w:rsid w:val="009B3174"/>
    <w:rsid w:val="009C14C4"/>
    <w:rsid w:val="009C14DF"/>
    <w:rsid w:val="009C3B0A"/>
    <w:rsid w:val="009C6F9F"/>
    <w:rsid w:val="009D0D08"/>
    <w:rsid w:val="009D39BE"/>
    <w:rsid w:val="009D624E"/>
    <w:rsid w:val="009E17CA"/>
    <w:rsid w:val="009E53BD"/>
    <w:rsid w:val="009E5CFA"/>
    <w:rsid w:val="009E63C5"/>
    <w:rsid w:val="009E745C"/>
    <w:rsid w:val="009F231C"/>
    <w:rsid w:val="00A03720"/>
    <w:rsid w:val="00A0636B"/>
    <w:rsid w:val="00A11A4E"/>
    <w:rsid w:val="00A11AFB"/>
    <w:rsid w:val="00A142CE"/>
    <w:rsid w:val="00A17126"/>
    <w:rsid w:val="00A175A7"/>
    <w:rsid w:val="00A20393"/>
    <w:rsid w:val="00A217A3"/>
    <w:rsid w:val="00A234CE"/>
    <w:rsid w:val="00A23DD8"/>
    <w:rsid w:val="00A24097"/>
    <w:rsid w:val="00A24DA2"/>
    <w:rsid w:val="00A25CD6"/>
    <w:rsid w:val="00A304AA"/>
    <w:rsid w:val="00A32FA5"/>
    <w:rsid w:val="00A45187"/>
    <w:rsid w:val="00A45F9C"/>
    <w:rsid w:val="00A465E5"/>
    <w:rsid w:val="00A46A81"/>
    <w:rsid w:val="00A50EAC"/>
    <w:rsid w:val="00A5479F"/>
    <w:rsid w:val="00A64393"/>
    <w:rsid w:val="00A663B7"/>
    <w:rsid w:val="00A712B8"/>
    <w:rsid w:val="00A743D2"/>
    <w:rsid w:val="00A748D0"/>
    <w:rsid w:val="00A76DA9"/>
    <w:rsid w:val="00A8124E"/>
    <w:rsid w:val="00A823D8"/>
    <w:rsid w:val="00A829CC"/>
    <w:rsid w:val="00A84260"/>
    <w:rsid w:val="00A85020"/>
    <w:rsid w:val="00A872AE"/>
    <w:rsid w:val="00A87420"/>
    <w:rsid w:val="00A91AED"/>
    <w:rsid w:val="00AA1621"/>
    <w:rsid w:val="00AA1E34"/>
    <w:rsid w:val="00AA4832"/>
    <w:rsid w:val="00AA74E4"/>
    <w:rsid w:val="00AB25B1"/>
    <w:rsid w:val="00AB3BF3"/>
    <w:rsid w:val="00AB4045"/>
    <w:rsid w:val="00AC33CE"/>
    <w:rsid w:val="00AD68D0"/>
    <w:rsid w:val="00AD7E67"/>
    <w:rsid w:val="00AE1C71"/>
    <w:rsid w:val="00AF0262"/>
    <w:rsid w:val="00AF38AD"/>
    <w:rsid w:val="00AF45F3"/>
    <w:rsid w:val="00AF5199"/>
    <w:rsid w:val="00AF66EE"/>
    <w:rsid w:val="00B01E2D"/>
    <w:rsid w:val="00B03723"/>
    <w:rsid w:val="00B04AA9"/>
    <w:rsid w:val="00B05F28"/>
    <w:rsid w:val="00B06222"/>
    <w:rsid w:val="00B111F6"/>
    <w:rsid w:val="00B13688"/>
    <w:rsid w:val="00B175A3"/>
    <w:rsid w:val="00B17EC7"/>
    <w:rsid w:val="00B234BF"/>
    <w:rsid w:val="00B23504"/>
    <w:rsid w:val="00B235E9"/>
    <w:rsid w:val="00B274D7"/>
    <w:rsid w:val="00B31DB7"/>
    <w:rsid w:val="00B3508D"/>
    <w:rsid w:val="00B361FB"/>
    <w:rsid w:val="00B36AED"/>
    <w:rsid w:val="00B40EEE"/>
    <w:rsid w:val="00B431EB"/>
    <w:rsid w:val="00B46C74"/>
    <w:rsid w:val="00B54F49"/>
    <w:rsid w:val="00B6301D"/>
    <w:rsid w:val="00B66145"/>
    <w:rsid w:val="00B70414"/>
    <w:rsid w:val="00B726BA"/>
    <w:rsid w:val="00B73F00"/>
    <w:rsid w:val="00B7429F"/>
    <w:rsid w:val="00B74B5E"/>
    <w:rsid w:val="00B876DB"/>
    <w:rsid w:val="00B912F5"/>
    <w:rsid w:val="00BA0317"/>
    <w:rsid w:val="00BB3588"/>
    <w:rsid w:val="00BC244C"/>
    <w:rsid w:val="00BC3CA6"/>
    <w:rsid w:val="00BD0253"/>
    <w:rsid w:val="00BD14F5"/>
    <w:rsid w:val="00BD18B6"/>
    <w:rsid w:val="00BD52F6"/>
    <w:rsid w:val="00BD6ECB"/>
    <w:rsid w:val="00BE17F0"/>
    <w:rsid w:val="00BE4D80"/>
    <w:rsid w:val="00BE55DE"/>
    <w:rsid w:val="00BE6F99"/>
    <w:rsid w:val="00BF0379"/>
    <w:rsid w:val="00BF71C4"/>
    <w:rsid w:val="00BF7B85"/>
    <w:rsid w:val="00C00323"/>
    <w:rsid w:val="00C00AE6"/>
    <w:rsid w:val="00C012DE"/>
    <w:rsid w:val="00C02EFB"/>
    <w:rsid w:val="00C03BC5"/>
    <w:rsid w:val="00C0558D"/>
    <w:rsid w:val="00C064F5"/>
    <w:rsid w:val="00C076D9"/>
    <w:rsid w:val="00C211D1"/>
    <w:rsid w:val="00C264F3"/>
    <w:rsid w:val="00C33073"/>
    <w:rsid w:val="00C36354"/>
    <w:rsid w:val="00C41FD8"/>
    <w:rsid w:val="00C43424"/>
    <w:rsid w:val="00C442F5"/>
    <w:rsid w:val="00C464C8"/>
    <w:rsid w:val="00C47642"/>
    <w:rsid w:val="00C52081"/>
    <w:rsid w:val="00C566FC"/>
    <w:rsid w:val="00C5781E"/>
    <w:rsid w:val="00C57D72"/>
    <w:rsid w:val="00C61E1F"/>
    <w:rsid w:val="00C61EB8"/>
    <w:rsid w:val="00C709C4"/>
    <w:rsid w:val="00C71855"/>
    <w:rsid w:val="00C748AB"/>
    <w:rsid w:val="00C754CC"/>
    <w:rsid w:val="00C77607"/>
    <w:rsid w:val="00C77DB9"/>
    <w:rsid w:val="00C81190"/>
    <w:rsid w:val="00C87C29"/>
    <w:rsid w:val="00C90492"/>
    <w:rsid w:val="00C959BA"/>
    <w:rsid w:val="00C9674E"/>
    <w:rsid w:val="00C96C0C"/>
    <w:rsid w:val="00C971A9"/>
    <w:rsid w:val="00CA1B24"/>
    <w:rsid w:val="00CA2336"/>
    <w:rsid w:val="00CA69CA"/>
    <w:rsid w:val="00CB0A70"/>
    <w:rsid w:val="00CB0E6C"/>
    <w:rsid w:val="00CB1237"/>
    <w:rsid w:val="00CB1B4E"/>
    <w:rsid w:val="00CB3D26"/>
    <w:rsid w:val="00CC0CDD"/>
    <w:rsid w:val="00CC3AD8"/>
    <w:rsid w:val="00CC5E6D"/>
    <w:rsid w:val="00CC6C36"/>
    <w:rsid w:val="00CD0F9E"/>
    <w:rsid w:val="00CD31E3"/>
    <w:rsid w:val="00CD53EE"/>
    <w:rsid w:val="00CD5708"/>
    <w:rsid w:val="00CD611B"/>
    <w:rsid w:val="00CD693D"/>
    <w:rsid w:val="00CD75B0"/>
    <w:rsid w:val="00CE021F"/>
    <w:rsid w:val="00CE02A5"/>
    <w:rsid w:val="00CE6336"/>
    <w:rsid w:val="00CF08C2"/>
    <w:rsid w:val="00D015A2"/>
    <w:rsid w:val="00D106B3"/>
    <w:rsid w:val="00D117A2"/>
    <w:rsid w:val="00D128A1"/>
    <w:rsid w:val="00D15528"/>
    <w:rsid w:val="00D161E5"/>
    <w:rsid w:val="00D30597"/>
    <w:rsid w:val="00D34FB0"/>
    <w:rsid w:val="00D429CB"/>
    <w:rsid w:val="00D532BC"/>
    <w:rsid w:val="00D6318B"/>
    <w:rsid w:val="00D63342"/>
    <w:rsid w:val="00D63CB4"/>
    <w:rsid w:val="00D654A8"/>
    <w:rsid w:val="00D75CE0"/>
    <w:rsid w:val="00D82248"/>
    <w:rsid w:val="00D83E60"/>
    <w:rsid w:val="00D84D24"/>
    <w:rsid w:val="00D90377"/>
    <w:rsid w:val="00D94FF8"/>
    <w:rsid w:val="00D9580F"/>
    <w:rsid w:val="00D962A9"/>
    <w:rsid w:val="00DA0B8C"/>
    <w:rsid w:val="00DA1277"/>
    <w:rsid w:val="00DA1CF9"/>
    <w:rsid w:val="00DA7847"/>
    <w:rsid w:val="00DB2899"/>
    <w:rsid w:val="00DB391E"/>
    <w:rsid w:val="00DB6265"/>
    <w:rsid w:val="00DC283C"/>
    <w:rsid w:val="00DD20CA"/>
    <w:rsid w:val="00DD2D9F"/>
    <w:rsid w:val="00DD5826"/>
    <w:rsid w:val="00DD6327"/>
    <w:rsid w:val="00DD7984"/>
    <w:rsid w:val="00DF2DC8"/>
    <w:rsid w:val="00DF4DA7"/>
    <w:rsid w:val="00DF6525"/>
    <w:rsid w:val="00E00687"/>
    <w:rsid w:val="00E0332A"/>
    <w:rsid w:val="00E04158"/>
    <w:rsid w:val="00E04974"/>
    <w:rsid w:val="00E04D20"/>
    <w:rsid w:val="00E15E11"/>
    <w:rsid w:val="00E310B1"/>
    <w:rsid w:val="00E35105"/>
    <w:rsid w:val="00E35E47"/>
    <w:rsid w:val="00E37A30"/>
    <w:rsid w:val="00E41FD5"/>
    <w:rsid w:val="00E44F94"/>
    <w:rsid w:val="00E50BA5"/>
    <w:rsid w:val="00E576D5"/>
    <w:rsid w:val="00E609B4"/>
    <w:rsid w:val="00E60B28"/>
    <w:rsid w:val="00E61794"/>
    <w:rsid w:val="00E642C3"/>
    <w:rsid w:val="00E66AA8"/>
    <w:rsid w:val="00E67BA9"/>
    <w:rsid w:val="00E71116"/>
    <w:rsid w:val="00E739CA"/>
    <w:rsid w:val="00E7752B"/>
    <w:rsid w:val="00E80E7A"/>
    <w:rsid w:val="00E845ED"/>
    <w:rsid w:val="00E877B4"/>
    <w:rsid w:val="00E958A8"/>
    <w:rsid w:val="00E96594"/>
    <w:rsid w:val="00EA0618"/>
    <w:rsid w:val="00EA0C7B"/>
    <w:rsid w:val="00EA277C"/>
    <w:rsid w:val="00EA655A"/>
    <w:rsid w:val="00EB0706"/>
    <w:rsid w:val="00EB19FE"/>
    <w:rsid w:val="00EC4FD2"/>
    <w:rsid w:val="00EC5853"/>
    <w:rsid w:val="00ED450B"/>
    <w:rsid w:val="00ED540C"/>
    <w:rsid w:val="00ED5C64"/>
    <w:rsid w:val="00ED5E7C"/>
    <w:rsid w:val="00EE150E"/>
    <w:rsid w:val="00EE1E33"/>
    <w:rsid w:val="00EE2DAE"/>
    <w:rsid w:val="00EE52BE"/>
    <w:rsid w:val="00EE6256"/>
    <w:rsid w:val="00EE716D"/>
    <w:rsid w:val="00EF2748"/>
    <w:rsid w:val="00EF5565"/>
    <w:rsid w:val="00F048EC"/>
    <w:rsid w:val="00F04B3C"/>
    <w:rsid w:val="00F05A6E"/>
    <w:rsid w:val="00F069EB"/>
    <w:rsid w:val="00F17274"/>
    <w:rsid w:val="00F17523"/>
    <w:rsid w:val="00F20311"/>
    <w:rsid w:val="00F20BED"/>
    <w:rsid w:val="00F24008"/>
    <w:rsid w:val="00F27EB4"/>
    <w:rsid w:val="00F3004E"/>
    <w:rsid w:val="00F33E80"/>
    <w:rsid w:val="00F34268"/>
    <w:rsid w:val="00F34868"/>
    <w:rsid w:val="00F35B21"/>
    <w:rsid w:val="00F35FEA"/>
    <w:rsid w:val="00F36E19"/>
    <w:rsid w:val="00F3719B"/>
    <w:rsid w:val="00F37DBA"/>
    <w:rsid w:val="00F40590"/>
    <w:rsid w:val="00F4301B"/>
    <w:rsid w:val="00F44A6F"/>
    <w:rsid w:val="00F45B93"/>
    <w:rsid w:val="00F52ECC"/>
    <w:rsid w:val="00F54E62"/>
    <w:rsid w:val="00F55237"/>
    <w:rsid w:val="00F5563A"/>
    <w:rsid w:val="00F571C4"/>
    <w:rsid w:val="00F6323A"/>
    <w:rsid w:val="00F75BD7"/>
    <w:rsid w:val="00F76954"/>
    <w:rsid w:val="00F81C50"/>
    <w:rsid w:val="00F83095"/>
    <w:rsid w:val="00F83F62"/>
    <w:rsid w:val="00F84F72"/>
    <w:rsid w:val="00F8648D"/>
    <w:rsid w:val="00F90B7C"/>
    <w:rsid w:val="00F93C08"/>
    <w:rsid w:val="00F973A1"/>
    <w:rsid w:val="00FA0F73"/>
    <w:rsid w:val="00FA4591"/>
    <w:rsid w:val="00FB1C4E"/>
    <w:rsid w:val="00FB2519"/>
    <w:rsid w:val="00FB41CA"/>
    <w:rsid w:val="00FB74ED"/>
    <w:rsid w:val="00FC32F6"/>
    <w:rsid w:val="00FC4335"/>
    <w:rsid w:val="00FC6750"/>
    <w:rsid w:val="00FD3671"/>
    <w:rsid w:val="00FD452B"/>
    <w:rsid w:val="00FF25B1"/>
    <w:rsid w:val="00FF3C18"/>
    <w:rsid w:val="00FF7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2D816"/>
  <w15:chartTrackingRefBased/>
  <w15:docId w15:val="{68797E19-55BF-BF4D-9BCA-688045C56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2B0"/>
    <w:pPr>
      <w:spacing w:after="240" w:line="276" w:lineRule="auto"/>
    </w:pPr>
    <w:rPr>
      <w:rFonts w:ascii="Tahoma" w:eastAsia="Times New Roman" w:hAnsi="Tahoma" w:cs="Tahoma"/>
      <w:sz w:val="22"/>
      <w:szCs w:val="22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2B0"/>
    <w:pPr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B28F0"/>
    <w:pPr>
      <w:spacing w:after="120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41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B682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823"/>
    <w:rPr>
      <w:rFonts w:ascii="Segoe UI" w:eastAsia="Times New Roman" w:hAnsi="Segoe UI" w:cs="Segoe UI"/>
      <w:sz w:val="18"/>
      <w:szCs w:val="18"/>
      <w:lang w:eastAsia="en-GB"/>
    </w:rPr>
  </w:style>
  <w:style w:type="character" w:styleId="CommentReference">
    <w:name w:val="annotation reference"/>
    <w:basedOn w:val="DefaultParagraphFont"/>
    <w:semiHidden/>
    <w:unhideWhenUsed/>
    <w:rsid w:val="002B68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68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6823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68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6823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Revision">
    <w:name w:val="Revision"/>
    <w:hidden/>
    <w:uiPriority w:val="99"/>
    <w:semiHidden/>
    <w:rsid w:val="00C442F5"/>
    <w:rPr>
      <w:rFonts w:ascii="Times New Roman" w:eastAsia="Times New Roman" w:hAnsi="Times New Roman" w:cs="Times New Roman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6672B0"/>
    <w:rPr>
      <w:rFonts w:ascii="Tahoma" w:eastAsia="Times New Roman" w:hAnsi="Tahoma" w:cs="Tahoma"/>
      <w:b/>
      <w:bCs/>
      <w:lang w:eastAsia="en-GB"/>
    </w:rPr>
  </w:style>
  <w:style w:type="paragraph" w:styleId="NoSpacing">
    <w:name w:val="No Spacing"/>
    <w:link w:val="NoSpacingChar"/>
    <w:uiPriority w:val="1"/>
    <w:qFormat/>
    <w:rsid w:val="00873081"/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2B28F0"/>
    <w:rPr>
      <w:rFonts w:ascii="Tahoma" w:eastAsia="Times New Roman" w:hAnsi="Tahoma" w:cs="Tahoma"/>
      <w:b/>
      <w:bCs/>
      <w:sz w:val="22"/>
      <w:szCs w:val="22"/>
      <w:lang w:eastAsia="en-GB"/>
    </w:rPr>
  </w:style>
  <w:style w:type="table" w:styleId="PlainTable5">
    <w:name w:val="Plain Table 5"/>
    <w:basedOn w:val="TableNormal"/>
    <w:uiPriority w:val="45"/>
    <w:rsid w:val="00203690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0B0B0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0B0B0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0B0B0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0B0B0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3">
    <w:name w:val="Plain Table 3"/>
    <w:basedOn w:val="TableNormal"/>
    <w:uiPriority w:val="43"/>
    <w:rsid w:val="00203690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B0B0B0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B0B0B0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726BA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aliases w:val="Bullets Points"/>
    <w:basedOn w:val="Normal"/>
    <w:link w:val="ListParagraphChar"/>
    <w:qFormat/>
    <w:rsid w:val="008D7E3E"/>
    <w:pPr>
      <w:ind w:left="720"/>
      <w:contextualSpacing/>
    </w:pPr>
  </w:style>
  <w:style w:type="paragraph" w:styleId="Subtitle">
    <w:name w:val="Subtitle"/>
    <w:aliases w:val="Footnote"/>
    <w:basedOn w:val="NoSpacing"/>
    <w:next w:val="Normal"/>
    <w:link w:val="SubtitleChar"/>
    <w:qFormat/>
    <w:rsid w:val="00053969"/>
    <w:rPr>
      <w:sz w:val="18"/>
      <w:szCs w:val="18"/>
    </w:rPr>
  </w:style>
  <w:style w:type="character" w:customStyle="1" w:styleId="SubtitleChar">
    <w:name w:val="Subtitle Char"/>
    <w:aliases w:val="Footnote Char"/>
    <w:basedOn w:val="DefaultParagraphFont"/>
    <w:link w:val="Subtitle"/>
    <w:rsid w:val="00053969"/>
    <w:rPr>
      <w:rFonts w:ascii="Tahoma" w:eastAsia="Times New Roman" w:hAnsi="Tahoma" w:cs="Tahoma"/>
      <w:sz w:val="18"/>
      <w:szCs w:val="18"/>
      <w:lang w:eastAsia="en-GB"/>
    </w:rPr>
  </w:style>
  <w:style w:type="table" w:styleId="GridTable4-Accent5">
    <w:name w:val="Grid Table 4 Accent 5"/>
    <w:basedOn w:val="TableNormal"/>
    <w:uiPriority w:val="49"/>
    <w:rsid w:val="00F36E19"/>
    <w:tblPr>
      <w:tblStyleRowBandSize w:val="1"/>
      <w:tblStyleColBandSize w:val="1"/>
      <w:tblBorders>
        <w:top w:val="single" w:sz="4" w:space="0" w:color="95CEE3" w:themeColor="accent5" w:themeTint="99"/>
        <w:left w:val="single" w:sz="4" w:space="0" w:color="95CEE3" w:themeColor="accent5" w:themeTint="99"/>
        <w:bottom w:val="single" w:sz="4" w:space="0" w:color="95CEE3" w:themeColor="accent5" w:themeTint="99"/>
        <w:right w:val="single" w:sz="4" w:space="0" w:color="95CEE3" w:themeColor="accent5" w:themeTint="99"/>
        <w:insideH w:val="single" w:sz="4" w:space="0" w:color="95CEE3" w:themeColor="accent5" w:themeTint="99"/>
        <w:insideV w:val="single" w:sz="4" w:space="0" w:color="95CEE3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AED1" w:themeColor="accent5"/>
          <w:left w:val="single" w:sz="4" w:space="0" w:color="4FAED1" w:themeColor="accent5"/>
          <w:bottom w:val="single" w:sz="4" w:space="0" w:color="4FAED1" w:themeColor="accent5"/>
          <w:right w:val="single" w:sz="4" w:space="0" w:color="4FAED1" w:themeColor="accent5"/>
          <w:insideH w:val="nil"/>
          <w:insideV w:val="nil"/>
        </w:tcBorders>
        <w:shd w:val="clear" w:color="auto" w:fill="4FAED1" w:themeFill="accent5"/>
      </w:tcPr>
    </w:tblStylePr>
    <w:tblStylePr w:type="lastRow">
      <w:rPr>
        <w:b/>
        <w:bCs/>
      </w:rPr>
      <w:tblPr/>
      <w:tcPr>
        <w:tcBorders>
          <w:top w:val="double" w:sz="4" w:space="0" w:color="4FAED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EF5" w:themeFill="accent5" w:themeFillTint="33"/>
      </w:tcPr>
    </w:tblStylePr>
    <w:tblStylePr w:type="band1Horz">
      <w:tblPr/>
      <w:tcPr>
        <w:shd w:val="clear" w:color="auto" w:fill="DBEEF5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F36E19"/>
    <w:tblPr>
      <w:tblStyleRowBandSize w:val="1"/>
      <w:tblStyleColBandSize w:val="1"/>
      <w:tblBorders>
        <w:top w:val="single" w:sz="4" w:space="0" w:color="768ACF" w:themeColor="accent1" w:themeTint="99"/>
        <w:left w:val="single" w:sz="4" w:space="0" w:color="768ACF" w:themeColor="accent1" w:themeTint="99"/>
        <w:bottom w:val="single" w:sz="4" w:space="0" w:color="768ACF" w:themeColor="accent1" w:themeTint="99"/>
        <w:right w:val="single" w:sz="4" w:space="0" w:color="768ACF" w:themeColor="accent1" w:themeTint="99"/>
        <w:insideH w:val="single" w:sz="4" w:space="0" w:color="768ACF" w:themeColor="accent1" w:themeTint="99"/>
        <w:insideV w:val="single" w:sz="4" w:space="0" w:color="768AC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54B96" w:themeColor="accent1"/>
          <w:left w:val="single" w:sz="4" w:space="0" w:color="354B96" w:themeColor="accent1"/>
          <w:bottom w:val="single" w:sz="4" w:space="0" w:color="354B96" w:themeColor="accent1"/>
          <w:right w:val="single" w:sz="4" w:space="0" w:color="354B96" w:themeColor="accent1"/>
          <w:insideH w:val="nil"/>
          <w:insideV w:val="nil"/>
        </w:tcBorders>
        <w:shd w:val="clear" w:color="auto" w:fill="354B96" w:themeFill="accent1"/>
      </w:tcPr>
    </w:tblStylePr>
    <w:tblStylePr w:type="lastRow">
      <w:rPr>
        <w:b/>
        <w:bCs/>
      </w:rPr>
      <w:tblPr/>
      <w:tcPr>
        <w:tcBorders>
          <w:top w:val="double" w:sz="4" w:space="0" w:color="354B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EF" w:themeFill="accent1" w:themeFillTint="33"/>
      </w:tcPr>
    </w:tblStylePr>
    <w:tblStylePr w:type="band1Horz">
      <w:tblPr/>
      <w:tcPr>
        <w:shd w:val="clear" w:color="auto" w:fill="D1D7EF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F36E19"/>
    <w:rPr>
      <w:color w:val="273870" w:themeColor="accent1" w:themeShade="BF"/>
    </w:rPr>
    <w:tblPr>
      <w:tblStyleRowBandSize w:val="1"/>
      <w:tblStyleColBandSize w:val="1"/>
      <w:tblBorders>
        <w:top w:val="single" w:sz="4" w:space="0" w:color="768ACF" w:themeColor="accent1" w:themeTint="99"/>
        <w:left w:val="single" w:sz="4" w:space="0" w:color="768ACF" w:themeColor="accent1" w:themeTint="99"/>
        <w:bottom w:val="single" w:sz="4" w:space="0" w:color="768ACF" w:themeColor="accent1" w:themeTint="99"/>
        <w:right w:val="single" w:sz="4" w:space="0" w:color="768ACF" w:themeColor="accent1" w:themeTint="99"/>
        <w:insideH w:val="single" w:sz="4" w:space="0" w:color="768ACF" w:themeColor="accent1" w:themeTint="99"/>
        <w:insideV w:val="single" w:sz="4" w:space="0" w:color="768AC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68AC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68AC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EF" w:themeFill="accent1" w:themeFillTint="33"/>
      </w:tcPr>
    </w:tblStylePr>
    <w:tblStylePr w:type="band1Horz">
      <w:tblPr/>
      <w:tcPr>
        <w:shd w:val="clear" w:color="auto" w:fill="D1D7EF" w:themeFill="accen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F36E19"/>
    <w:rPr>
      <w:color w:val="273870" w:themeColor="accent1" w:themeShade="BF"/>
    </w:rPr>
    <w:tblPr>
      <w:tblStyleRowBandSize w:val="1"/>
      <w:tblStyleColBandSize w:val="1"/>
      <w:tblBorders>
        <w:top w:val="single" w:sz="4" w:space="0" w:color="354B96" w:themeColor="accent1"/>
        <w:bottom w:val="single" w:sz="4" w:space="0" w:color="354B96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54B96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54B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D7EF" w:themeFill="accent1" w:themeFillTint="33"/>
      </w:tcPr>
    </w:tblStylePr>
    <w:tblStylePr w:type="band1Horz">
      <w:tblPr/>
      <w:tcPr>
        <w:shd w:val="clear" w:color="auto" w:fill="D1D7E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F36E19"/>
    <w:rPr>
      <w:color w:val="636363" w:themeColor="text1"/>
    </w:rPr>
    <w:tblPr>
      <w:tblStyleRowBandSize w:val="1"/>
      <w:tblStyleColBandSize w:val="1"/>
      <w:tblBorders>
        <w:top w:val="single" w:sz="4" w:space="0" w:color="636363" w:themeColor="text1"/>
        <w:bottom w:val="single" w:sz="4" w:space="0" w:color="636363" w:themeColor="text1"/>
      </w:tblBorders>
    </w:tblPr>
    <w:tblStylePr w:type="firstRow">
      <w:rPr>
        <w:b/>
        <w:bCs/>
      </w:rPr>
      <w:tblPr/>
      <w:tcPr>
        <w:tcBorders>
          <w:bottom w:val="single" w:sz="4" w:space="0" w:color="636363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6363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text1" w:themeFillTint="33"/>
      </w:tcPr>
    </w:tblStylePr>
    <w:tblStylePr w:type="band1Horz">
      <w:tblPr/>
      <w:tcPr>
        <w:shd w:val="clear" w:color="auto" w:fill="DFDFDF" w:themeFill="text1" w:themeFillTint="33"/>
      </w:tcPr>
    </w:tblStylePr>
  </w:style>
  <w:style w:type="table" w:styleId="PlainTable1">
    <w:name w:val="Plain Table 1"/>
    <w:basedOn w:val="TableNormal"/>
    <w:uiPriority w:val="41"/>
    <w:rsid w:val="00F36E1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yperlink">
    <w:name w:val="Hyperlink"/>
    <w:uiPriority w:val="99"/>
    <w:unhideWhenUsed/>
    <w:rsid w:val="00AB25B1"/>
    <w:rPr>
      <w:color w:val="0000FF"/>
      <w:u w:val="single"/>
    </w:rPr>
  </w:style>
  <w:style w:type="character" w:customStyle="1" w:styleId="ListParagraphChar">
    <w:name w:val="List Paragraph Char"/>
    <w:aliases w:val="Bullets Points Char"/>
    <w:basedOn w:val="DefaultParagraphFont"/>
    <w:link w:val="ListParagraph"/>
    <w:uiPriority w:val="34"/>
    <w:rsid w:val="00AB25B1"/>
    <w:rPr>
      <w:rFonts w:ascii="Tahoma" w:eastAsia="Times New Roman" w:hAnsi="Tahoma" w:cs="Tahoma"/>
      <w:sz w:val="22"/>
      <w:szCs w:val="22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7D7ADD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qFormat/>
    <w:rsid w:val="003516A4"/>
    <w:pPr>
      <w:spacing w:after="0" w:line="360" w:lineRule="auto"/>
    </w:pPr>
    <w:rPr>
      <w:rFonts w:cs="Times New Roman"/>
      <w:b/>
      <w:noProof/>
      <w:sz w:val="24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3516A4"/>
    <w:rPr>
      <w:rFonts w:ascii="Tahoma" w:eastAsia="Times New Roman" w:hAnsi="Tahoma" w:cs="Times New Roman"/>
      <w:b/>
      <w:noProof/>
      <w:lang w:val="en-GB" w:eastAsia="en-GB"/>
    </w:rPr>
  </w:style>
  <w:style w:type="character" w:styleId="SubtleEmphasis">
    <w:name w:val="Subtle Emphasis"/>
    <w:uiPriority w:val="19"/>
    <w:qFormat/>
    <w:rsid w:val="003516A4"/>
    <w:rPr>
      <w:sz w:val="18"/>
      <w:szCs w:val="22"/>
    </w:rPr>
  </w:style>
  <w:style w:type="paragraph" w:customStyle="1" w:styleId="Table">
    <w:name w:val="Table"/>
    <w:basedOn w:val="NoSpacing"/>
    <w:link w:val="TableChar"/>
    <w:qFormat/>
    <w:rsid w:val="003516A4"/>
    <w:pPr>
      <w:jc w:val="center"/>
    </w:pPr>
    <w:rPr>
      <w:sz w:val="18"/>
      <w:szCs w:val="18"/>
      <w:lang w:val="en-GB"/>
    </w:rPr>
  </w:style>
  <w:style w:type="character" w:customStyle="1" w:styleId="NoSpacingChar">
    <w:name w:val="No Spacing Char"/>
    <w:basedOn w:val="SubtitleChar"/>
    <w:link w:val="NoSpacing"/>
    <w:uiPriority w:val="1"/>
    <w:rsid w:val="003516A4"/>
    <w:rPr>
      <w:rFonts w:ascii="Tahoma" w:eastAsia="Times New Roman" w:hAnsi="Tahoma" w:cs="Tahoma"/>
      <w:sz w:val="20"/>
      <w:szCs w:val="20"/>
      <w:lang w:eastAsia="en-GB"/>
    </w:rPr>
  </w:style>
  <w:style w:type="character" w:customStyle="1" w:styleId="TableChar">
    <w:name w:val="Table Char"/>
    <w:basedOn w:val="NoSpacingChar"/>
    <w:link w:val="Table"/>
    <w:rsid w:val="003516A4"/>
    <w:rPr>
      <w:rFonts w:ascii="Tahoma" w:eastAsia="Times New Roman" w:hAnsi="Tahoma" w:cs="Tahoma"/>
      <w:sz w:val="18"/>
      <w:szCs w:val="18"/>
      <w:lang w:val="en-GB"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157C8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75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75741"/>
    <w:rPr>
      <w:rFonts w:ascii="Tahoma" w:eastAsia="Times New Roman" w:hAnsi="Tahoma" w:cs="Tahoma"/>
      <w:sz w:val="22"/>
      <w:szCs w:val="22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175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75741"/>
    <w:rPr>
      <w:rFonts w:ascii="Tahoma" w:eastAsia="Times New Roman" w:hAnsi="Tahoma" w:cs="Tahoma"/>
      <w:sz w:val="22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163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3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5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UCB New">
  <a:themeElements>
    <a:clrScheme name="Custom 12">
      <a:dk1>
        <a:srgbClr val="636363"/>
      </a:dk1>
      <a:lt1>
        <a:srgbClr val="FFFFFF"/>
      </a:lt1>
      <a:dk2>
        <a:srgbClr val="354B96"/>
      </a:dk2>
      <a:lt2>
        <a:srgbClr val="FFFFFF"/>
      </a:lt2>
      <a:accent1>
        <a:srgbClr val="354B96"/>
      </a:accent1>
      <a:accent2>
        <a:srgbClr val="BC204B"/>
      </a:accent2>
      <a:accent3>
        <a:srgbClr val="5E366E"/>
      </a:accent3>
      <a:accent4>
        <a:srgbClr val="D57800"/>
      </a:accent4>
      <a:accent5>
        <a:srgbClr val="4FAED1"/>
      </a:accent5>
      <a:accent6>
        <a:srgbClr val="97BB3A"/>
      </a:accent6>
      <a:hlink>
        <a:srgbClr val="636363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6731CE8C7FB944BFA5A53754C22232" ma:contentTypeVersion="10" ma:contentTypeDescription="Create a new document." ma:contentTypeScope="" ma:versionID="2f454b746c81a92dbb123da561252b10">
  <xsd:schema xmlns:xsd="http://www.w3.org/2001/XMLSchema" xmlns:xs="http://www.w3.org/2001/XMLSchema" xmlns:p="http://schemas.microsoft.com/office/2006/metadata/properties" xmlns:ns3="b7ec0303-9471-41a8-9efa-aecf18065177" targetNamespace="http://schemas.microsoft.com/office/2006/metadata/properties" ma:root="true" ma:fieldsID="acda0844e0b5437300e84da51bf89e1b" ns3:_="">
    <xsd:import namespace="b7ec0303-9471-41a8-9efa-aecf180651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c0303-9471-41a8-9efa-aecf180651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C1F673E-CFC3-4491-91BB-518A86A82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ec0303-9471-41a8-9efa-aecf18065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BED499E-3D86-4D26-90D6-485F68B56E8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AAF300-466A-462F-B5EF-0AA26A901016}">
  <ds:schemaRefs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b7ec0303-9471-41a8-9efa-aecf1806517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3821</Characters>
  <Application>Microsoft Office Word</Application>
  <DocSecurity>0</DocSecurity>
  <Lines>31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4483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Oortgiesen Marga</dc:creator>
  <cp:keywords/>
  <dc:description/>
  <cp:lastModifiedBy>Will Cherry</cp:lastModifiedBy>
  <cp:revision>3</cp:revision>
  <dcterms:created xsi:type="dcterms:W3CDTF">2021-02-26T18:44:00Z</dcterms:created>
  <dcterms:modified xsi:type="dcterms:W3CDTF">2021-02-26T19:07:00Z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0x010100E76731CE8C7FB944BFA5A53754C22232</vt:lpwstr>
  </property>
</Properties>
</file>